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32" w:rsidRPr="00806332" w:rsidRDefault="00806332" w:rsidP="00806332">
      <w:pPr>
        <w:rPr>
          <w:rFonts w:ascii="Arial" w:hAnsi="Arial" w:cs="Arial"/>
          <w:sz w:val="20"/>
        </w:rPr>
      </w:pPr>
    </w:p>
    <w:p w:rsidR="004F4462" w:rsidRDefault="00806332" w:rsidP="00806332">
      <w:pPr>
        <w:rPr>
          <w:rFonts w:ascii="Arial" w:hAnsi="Arial" w:cs="Arial"/>
          <w:sz w:val="20"/>
        </w:rPr>
      </w:pPr>
      <w:r w:rsidRPr="00806332">
        <w:rPr>
          <w:rFonts w:ascii="Arial" w:hAnsi="Arial" w:cs="Arial"/>
          <w:sz w:val="20"/>
        </w:rPr>
        <w:t>VISTO el estado que guardan las constancias que obran en el expediente de la verificación vinculante del cumplimiento a las obligaciones de transparencia establecidas en la Ley General de Transparencia y Acceso a la Información Pública y en la Ley Número 875 de Transparencia y Acceso a la Información Pública del Estado de Veracruz de Ignacio de la Llave, a cargo del sujeto obligado Secretaría de Educación de Veracruz, correspondiente al año dos mil veinte, se procede a emitir el presente dictamen, en razón de los siguientes:</w:t>
      </w:r>
    </w:p>
    <w:p w:rsidR="00806332" w:rsidRDefault="00806332" w:rsidP="00806332">
      <w:pPr>
        <w:jc w:val="center"/>
        <w:rPr>
          <w:rFonts w:ascii="Arial" w:hAnsi="Arial" w:cs="Arial"/>
          <w:b/>
          <w:sz w:val="20"/>
        </w:rPr>
      </w:pPr>
      <w:r w:rsidRPr="00806332">
        <w:rPr>
          <w:rFonts w:ascii="Arial" w:hAnsi="Arial" w:cs="Arial"/>
          <w:b/>
          <w:sz w:val="20"/>
        </w:rPr>
        <w:t>A N T E C E D E N T E S</w:t>
      </w:r>
    </w:p>
    <w:p w:rsidR="00806332" w:rsidRPr="00806332" w:rsidRDefault="00806332" w:rsidP="00806332">
      <w:pPr>
        <w:rPr>
          <w:rFonts w:ascii="Arial" w:hAnsi="Arial" w:cs="Arial"/>
          <w:sz w:val="20"/>
        </w:rPr>
      </w:pPr>
      <w:r w:rsidRPr="00806332">
        <w:rPr>
          <w:rFonts w:ascii="Arial" w:hAnsi="Arial" w:cs="Arial"/>
          <w:sz w:val="20"/>
        </w:rPr>
        <w:t>I. Con fecha veintiséis de junio de dos mil veinte, el Pleno del Instituto aprobó el ACUERDO ODG/SE-42/26/06/2020, en la cual establece el calendario de verificaciones de las obligaciones de transparencia de los sujetos obligados que conforma el padrón del Instituto Veracruzano de Acceso a la Información y Protección de Datos Personales, mismo que se notificó mediante el Sistema de Notificaciones Electrónicas, a los sujetos obligados del ámbito estatal que el Instituto Veracruzano de Acceso a la Información y Protección de Datos Personales llevará a cabo la verificación vinculante a las obligaciones de transparencia establecidas en la Ley General de Transparencia y Acceso a la Información Pública y en Ley Número 875 de Transparencia y Acceso a la Información Pública del Estado de Veracruz, en el periodo del seis de julio al treinta de noviembre de dos mil veinte.</w:t>
      </w:r>
    </w:p>
    <w:p w:rsidR="00806332" w:rsidRPr="00806332" w:rsidRDefault="00806332" w:rsidP="00806332">
      <w:pPr>
        <w:rPr>
          <w:rFonts w:ascii="Arial" w:hAnsi="Arial" w:cs="Arial"/>
          <w:sz w:val="20"/>
        </w:rPr>
      </w:pPr>
      <w:r w:rsidRPr="00806332">
        <w:rPr>
          <w:rFonts w:ascii="Arial" w:hAnsi="Arial" w:cs="Arial"/>
          <w:sz w:val="20"/>
        </w:rPr>
        <w:t>#¡VALOR!</w:t>
      </w:r>
    </w:p>
    <w:p w:rsidR="00806332" w:rsidRPr="00806332" w:rsidRDefault="00806332" w:rsidP="00806332">
      <w:pPr>
        <w:rPr>
          <w:rFonts w:ascii="Arial" w:hAnsi="Arial" w:cs="Arial"/>
          <w:sz w:val="20"/>
        </w:rPr>
      </w:pPr>
      <w:r w:rsidRPr="00806332">
        <w:rPr>
          <w:rFonts w:ascii="Arial" w:hAnsi="Arial" w:cs="Arial"/>
          <w:sz w:val="20"/>
        </w:rPr>
        <w:t>III. Con fecha diecisiete de febrero de dos mil veinte, la Dirección de Archivos dio inicio a la verificación de la información descargada, a efecto de corroborar, que la información publicada por el sujeto obligado, se encuentre completa y actualizada de conformidad con los elementos de forma, términos, plazos y formatos establecidos en la normativa aplicable.</w:t>
      </w:r>
    </w:p>
    <w:p w:rsidR="00806332" w:rsidRDefault="00806332" w:rsidP="00806332">
      <w:pPr>
        <w:rPr>
          <w:rFonts w:ascii="Arial" w:hAnsi="Arial" w:cs="Arial"/>
          <w:sz w:val="20"/>
        </w:rPr>
      </w:pPr>
      <w:r w:rsidRPr="00806332">
        <w:rPr>
          <w:rFonts w:ascii="Arial" w:hAnsi="Arial" w:cs="Arial"/>
          <w:sz w:val="20"/>
        </w:rPr>
        <w:t>IV. Con fecha ___________  de dos mil veinte, la Dirección de Archivos inició la verificación del portal de internet del sujeto obligado, observando que cumple con sus obligaciones de transparencia, a través del vínculo de acceso directo al SIPOT, tal como se muestra a continuación:</w:t>
      </w:r>
    </w:p>
    <w:p w:rsidR="00806332" w:rsidRDefault="00806332" w:rsidP="00806332">
      <w:pPr>
        <w:rPr>
          <w:noProof/>
          <w:lang w:eastAsia="es-MX"/>
        </w:rPr>
      </w:pPr>
    </w:p>
    <w:p w:rsidR="00806332" w:rsidRDefault="00806332" w:rsidP="00806332">
      <w:pPr>
        <w:rPr>
          <w:rFonts w:ascii="Arial" w:hAnsi="Arial" w:cs="Arial"/>
          <w:sz w:val="20"/>
        </w:rPr>
      </w:pPr>
      <w:r>
        <w:rPr>
          <w:noProof/>
          <w:lang w:eastAsia="es-MX"/>
        </w:rPr>
        <w:drawing>
          <wp:inline distT="0" distB="0" distL="0" distR="0" wp14:anchorId="7C677F98" wp14:editId="11B61E78">
            <wp:extent cx="6563692" cy="3236015"/>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045" b="3315"/>
                    <a:stretch/>
                  </pic:blipFill>
                  <pic:spPr bwMode="auto">
                    <a:xfrm>
                      <a:off x="0" y="0"/>
                      <a:ext cx="6563995" cy="3236165"/>
                    </a:xfrm>
                    <a:prstGeom prst="rect">
                      <a:avLst/>
                    </a:prstGeom>
                    <a:ln>
                      <a:noFill/>
                    </a:ln>
                    <a:extLst>
                      <a:ext uri="{53640926-AAD7-44D8-BBD7-CCE9431645EC}">
                        <a14:shadowObscured xmlns:a14="http://schemas.microsoft.com/office/drawing/2010/main"/>
                      </a:ext>
                    </a:extLst>
                  </pic:spPr>
                </pic:pic>
              </a:graphicData>
            </a:graphic>
          </wp:inline>
        </w:drawing>
      </w:r>
    </w:p>
    <w:p w:rsidR="00806332" w:rsidRDefault="00806332" w:rsidP="00806332">
      <w:pPr>
        <w:rPr>
          <w:rFonts w:ascii="Arial" w:hAnsi="Arial" w:cs="Arial"/>
          <w:sz w:val="20"/>
        </w:rPr>
      </w:pPr>
    </w:p>
    <w:p w:rsidR="00806332" w:rsidRDefault="00806332" w:rsidP="00806332">
      <w:pPr>
        <w:rPr>
          <w:noProof/>
          <w:lang w:eastAsia="es-MX"/>
        </w:rPr>
      </w:pPr>
    </w:p>
    <w:p w:rsidR="00806332" w:rsidRDefault="00806332" w:rsidP="00806332">
      <w:pPr>
        <w:rPr>
          <w:rFonts w:ascii="Arial" w:hAnsi="Arial" w:cs="Arial"/>
          <w:sz w:val="20"/>
        </w:rPr>
      </w:pPr>
      <w:r>
        <w:rPr>
          <w:noProof/>
          <w:lang w:eastAsia="es-MX"/>
        </w:rPr>
        <w:lastRenderedPageBreak/>
        <w:drawing>
          <wp:inline distT="0" distB="0" distL="0" distR="0" wp14:anchorId="5C35B293" wp14:editId="2A1AF1BB">
            <wp:extent cx="6563292" cy="3204376"/>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259" b="3951"/>
                    <a:stretch/>
                  </pic:blipFill>
                  <pic:spPr bwMode="auto">
                    <a:xfrm>
                      <a:off x="0" y="0"/>
                      <a:ext cx="6563995" cy="3204719"/>
                    </a:xfrm>
                    <a:prstGeom prst="rect">
                      <a:avLst/>
                    </a:prstGeom>
                    <a:ln>
                      <a:noFill/>
                    </a:ln>
                    <a:extLst>
                      <a:ext uri="{53640926-AAD7-44D8-BBD7-CCE9431645EC}">
                        <a14:shadowObscured xmlns:a14="http://schemas.microsoft.com/office/drawing/2010/main"/>
                      </a:ext>
                    </a:extLst>
                  </pic:spPr>
                </pic:pic>
              </a:graphicData>
            </a:graphic>
          </wp:inline>
        </w:drawing>
      </w:r>
    </w:p>
    <w:p w:rsidR="00806332" w:rsidRPr="00806332" w:rsidRDefault="00806332" w:rsidP="00806332">
      <w:pPr>
        <w:rPr>
          <w:rFonts w:ascii="Arial" w:hAnsi="Arial" w:cs="Arial"/>
          <w:sz w:val="20"/>
        </w:rPr>
      </w:pPr>
    </w:p>
    <w:p w:rsidR="00806332" w:rsidRDefault="00806332" w:rsidP="00806332">
      <w:pPr>
        <w:rPr>
          <w:rFonts w:ascii="Arial" w:hAnsi="Arial" w:cs="Arial"/>
          <w:sz w:val="20"/>
        </w:rPr>
      </w:pPr>
      <w:r w:rsidRPr="00806332">
        <w:rPr>
          <w:rFonts w:ascii="Arial" w:hAnsi="Arial" w:cs="Arial"/>
          <w:sz w:val="20"/>
        </w:rPr>
        <w:t>V. Con fecha veintidós de febrero de dos mil veinte la Dirección de Archivos concluyó la revisión de la información del SIPOT y del portal de internet del sujeto obligado Secretaría de Educación de Veracruz.</w:t>
      </w:r>
    </w:p>
    <w:p w:rsidR="00806332" w:rsidRDefault="00806332" w:rsidP="00806332">
      <w:pPr>
        <w:jc w:val="center"/>
        <w:rPr>
          <w:rFonts w:ascii="Arial" w:hAnsi="Arial" w:cs="Arial"/>
          <w:b/>
          <w:sz w:val="20"/>
        </w:rPr>
      </w:pPr>
      <w:r w:rsidRPr="00806332">
        <w:rPr>
          <w:rFonts w:ascii="Arial" w:hAnsi="Arial" w:cs="Arial"/>
          <w:b/>
          <w:sz w:val="20"/>
        </w:rPr>
        <w:t>C O N S I D E R A N D O S</w:t>
      </w:r>
    </w:p>
    <w:p w:rsidR="00806332" w:rsidRPr="00806332" w:rsidRDefault="00806332" w:rsidP="00806332">
      <w:pPr>
        <w:rPr>
          <w:rFonts w:ascii="Arial" w:hAnsi="Arial" w:cs="Arial"/>
          <w:sz w:val="20"/>
        </w:rPr>
      </w:pPr>
      <w:r w:rsidRPr="00806332">
        <w:rPr>
          <w:rFonts w:ascii="Arial" w:hAnsi="Arial" w:cs="Arial"/>
          <w:sz w:val="20"/>
        </w:rPr>
        <w:t>Primero. La Dirección de Archivos es competente para emitir el presente dictamen, de conformidad con lo establecido en los artículos 106, fracción VIII, IX y X de la Ley Número 875 de Transparencia y Acceso a la Información Pública del Estado de Veracruz; 43, 46, fracciones, VI y VII del Reglamento Interno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cuya última modificación se publicó en el DOF el veintiocho de diciembre de dos mil diecisiete; artículo noveno, fracciones II y III de los Lineamientos Generales para la publicación de la información establecida en la Ley Número 875 de Transparencia y Acceso a la Información Pública para el Estado de Veracruz de Ignacio de la Llave, así como los formatos respectivos. Publicada en la Gaceta Oficial del Estado el 6 de abril de 2018; y del capítulo tercero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Acuerdo ODG/SE-41/26/06/2020.</w:t>
      </w:r>
    </w:p>
    <w:p w:rsidR="00806332" w:rsidRPr="00806332" w:rsidRDefault="00806332" w:rsidP="00806332">
      <w:pPr>
        <w:rPr>
          <w:rFonts w:ascii="Arial" w:hAnsi="Arial" w:cs="Arial"/>
          <w:sz w:val="20"/>
        </w:rPr>
      </w:pPr>
      <w:r w:rsidRPr="00806332">
        <w:rPr>
          <w:rFonts w:ascii="Arial" w:hAnsi="Arial" w:cs="Arial"/>
          <w:sz w:val="20"/>
        </w:rPr>
        <w:t>Segundo. Con la finalidad de corroborar la publicación y actualización de la información correspondiente a las obligaciones de transparencia del sujeto obligado, tanto en su portal de internet como en el SIPOT, se llevó a cabo la verificación de la información publicada del segundo trimestre de dos mil veinte. En este sentido, se revisó si la información cargada en el SIPOT por el sujeto obligado cumple con los criterios establecidos en los Lineamientos Técnicos Generales y el artículo noveno, fracciones II y III de los Lineamientos Generales para la publicación de la información establecida en la Ley Número 875 de Transparencia y Acceso a la Información Pública para el Estado de Veracruz de Ignacio de la Llave, que deben de difundir los sujetos obligados en el ámbito federal en los portales de Internet y en la Plataforma Nacional de Transparencia, siendo que los resultados obtenidos se precisaron en la Memoria Técnica de Verificación, la cual se adjunta al presente como parte integrante del mismo.</w:t>
      </w:r>
    </w:p>
    <w:p w:rsidR="00806332" w:rsidRPr="00806332" w:rsidRDefault="00806332" w:rsidP="00806332">
      <w:pPr>
        <w:rPr>
          <w:rFonts w:ascii="Arial" w:hAnsi="Arial" w:cs="Arial"/>
          <w:sz w:val="20"/>
        </w:rPr>
      </w:pPr>
      <w:r w:rsidRPr="00806332">
        <w:rPr>
          <w:rFonts w:ascii="Arial" w:hAnsi="Arial" w:cs="Arial"/>
          <w:sz w:val="20"/>
        </w:rPr>
        <w:t>Cabe señalar que, en virtud de que el sujeto obligado cumple en su portal de internet con la remisión directa al vínculo del SIPOT, no se requiere de la verificación de dicho portal, debido a que se trata de la misma información que ya se encuentra publicada en la Plataforma Nacional de Transparencia.</w:t>
      </w:r>
    </w:p>
    <w:p w:rsidR="00806332" w:rsidRPr="00806332" w:rsidRDefault="00806332" w:rsidP="00806332">
      <w:pPr>
        <w:rPr>
          <w:rFonts w:ascii="Arial" w:hAnsi="Arial" w:cs="Arial"/>
          <w:sz w:val="20"/>
        </w:rPr>
      </w:pPr>
      <w:r w:rsidRPr="00806332">
        <w:rPr>
          <w:rFonts w:ascii="Arial" w:hAnsi="Arial" w:cs="Arial"/>
          <w:sz w:val="20"/>
        </w:rPr>
        <w:t>De esta manera, conforme a la verificación realizada por la Dirección de Archivos, el sujeto obligado Secretaría de Educación de Veracruz obtuvo un puntaje de cuarenta y ocho punto noventa y cinco por ciento (48.95%) del Índice Global de Cumplimiento en Portales de Transparencia.</w:t>
      </w:r>
    </w:p>
    <w:p w:rsidR="00806332" w:rsidRDefault="00806332" w:rsidP="00806332">
      <w:pPr>
        <w:rPr>
          <w:rFonts w:ascii="Arial" w:hAnsi="Arial" w:cs="Arial"/>
          <w:sz w:val="20"/>
        </w:rPr>
      </w:pPr>
      <w:r w:rsidRPr="00806332">
        <w:rPr>
          <w:rFonts w:ascii="Arial" w:hAnsi="Arial" w:cs="Arial"/>
          <w:sz w:val="20"/>
        </w:rPr>
        <w:lastRenderedPageBreak/>
        <w:t>En virtud de lo anterior, resulta procedente emitir el siguiente:</w:t>
      </w:r>
    </w:p>
    <w:p w:rsidR="00806332" w:rsidRDefault="00806332" w:rsidP="00806332">
      <w:pPr>
        <w:jc w:val="center"/>
        <w:rPr>
          <w:rFonts w:ascii="Arial" w:hAnsi="Arial" w:cs="Arial"/>
          <w:b/>
          <w:sz w:val="20"/>
        </w:rPr>
      </w:pPr>
      <w:r w:rsidRPr="00806332">
        <w:rPr>
          <w:rFonts w:ascii="Arial" w:hAnsi="Arial" w:cs="Arial"/>
          <w:b/>
          <w:sz w:val="20"/>
        </w:rPr>
        <w:t>D I C T A M E N</w:t>
      </w:r>
    </w:p>
    <w:p w:rsidR="00806332" w:rsidRPr="00806332" w:rsidRDefault="00806332" w:rsidP="00806332">
      <w:pPr>
        <w:rPr>
          <w:rFonts w:ascii="Arial" w:hAnsi="Arial" w:cs="Arial"/>
          <w:sz w:val="20"/>
        </w:rPr>
      </w:pPr>
      <w:r w:rsidRPr="00806332">
        <w:rPr>
          <w:rFonts w:ascii="Arial" w:hAnsi="Arial" w:cs="Arial"/>
          <w:sz w:val="20"/>
        </w:rPr>
        <w:t>PRIMERO. El sujeto obligado denominado Secretaría de Educación de Veracruz incumplió con la publicación de la información concerniente a sus obligaciones de transparencia comunes y específicas establecidas en la Ley General de Transparencia y/o Ley Número 875 de Transparencia local, obteniendo un total de cuarenta y ocho punto noventa y cinco puntos porcentuales (48.95%) del Índice Global de Cumplimiento en Portales de Transparencia.</w:t>
      </w:r>
    </w:p>
    <w:p w:rsidR="00806332" w:rsidRDefault="00806332" w:rsidP="00806332">
      <w:pPr>
        <w:rPr>
          <w:rFonts w:ascii="Arial" w:hAnsi="Arial" w:cs="Arial"/>
          <w:sz w:val="20"/>
        </w:rPr>
      </w:pPr>
      <w:r w:rsidRPr="00806332">
        <w:rPr>
          <w:rFonts w:ascii="Arial" w:hAnsi="Arial" w:cs="Arial"/>
          <w:sz w:val="20"/>
        </w:rPr>
        <w:t>SEGUNDO. Con fundamento en los artículos 88, fracción II de la Ley General de Transparencia, 32, fracción II de la Ley Número 875 de Transparencia local, así como en lo dispuesto en los artículos 13, 14 y 16 de los Lineamientos de verificación, tal como se advierte de la Memoria Técnica de Verificación, el sujeto obligado debe cumplir con los REQUERIMIENTOS que se formulan a los artículos y fracciones de la Ley General de Transparencia y de la Ley Número 875 de Transparencia local de conformidad con lo siguiente:</w:t>
      </w:r>
    </w:p>
    <w:p w:rsidR="00806332" w:rsidRDefault="00806332" w:rsidP="00806332">
      <w:pPr>
        <w:jc w:val="center"/>
        <w:rPr>
          <w:rFonts w:ascii="Arial" w:hAnsi="Arial" w:cs="Arial"/>
          <w:b/>
          <w:sz w:val="20"/>
        </w:rPr>
      </w:pPr>
      <w:r w:rsidRPr="00806332">
        <w:rPr>
          <w:rFonts w:ascii="Arial" w:hAnsi="Arial" w:cs="Arial"/>
          <w:b/>
          <w:sz w:val="20"/>
        </w:rPr>
        <w:t>Requerimientos derivados de la verificación de las obligaciones de transparencia establecidas en la Ley General de Transparencia y Acceso a la Información Pública</w:t>
      </w:r>
      <w:r w:rsidRPr="00806332">
        <w:rPr>
          <w:rFonts w:ascii="Arial" w:hAnsi="Arial" w:cs="Arial"/>
          <w:b/>
          <w:sz w:val="20"/>
        </w:rPr>
        <w:tab/>
      </w:r>
      <w:r w:rsidRPr="00806332">
        <w:rPr>
          <w:rFonts w:ascii="Arial" w:hAnsi="Arial" w:cs="Arial"/>
          <w:b/>
          <w:sz w:val="20"/>
        </w:rPr>
        <w:tab/>
      </w:r>
      <w:r w:rsidRPr="0080633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V. Indicadores interés público</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 El número total de las plazas y del personal de base y confianza, especificando el total de las vacantes, por nivel de puesto, para cada unidad administrativa</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2438"/>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advierte que los hipervínculos no conectan devidamente a la información correspondiente. Se le requiere cumplir con la información.</w:t>
            </w:r>
          </w:p>
        </w:tc>
      </w:tr>
      <w:tr w:rsidR="00806332" w:rsidTr="00806332">
        <w:trPr>
          <w:trHeight w:val="290"/>
        </w:trPr>
        <w:tc>
          <w:tcPr>
            <w:tcW w:w="194" w:type="dxa"/>
            <w:gridSpan w:val="3"/>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 Contrataciones honorarios</w:t>
            </w:r>
          </w:p>
        </w:tc>
        <w:tc>
          <w:tcPr>
            <w:tcW w:w="1097"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contratación (catálogo): Servicios profesionales por honorarios / Servicios profesionales por honorarios asimilados a salarios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Partida presupuestal de los recursos con que se cubran los honorarios pactados,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completo de la persona contratada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contrato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contrato correspondiente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inicio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término del contrato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Servicios contratados (objeto del contrato)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Remuneración mensual bruta o contraprestación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Monto total a pagar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Prestaciones,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 la normatividad que regula la celebración de contratos de servicios profesionales por honorarios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la nota debidamente fundada y motivada, justificando la carencia de información en algunos criterios, incumple con los Lineamientos Técnicos Generales. Se le requiere al sujeto obligado cumplir con la información pública.</w:t>
            </w:r>
          </w:p>
        </w:tc>
      </w:tr>
      <w:tr w:rsidR="00806332" w:rsidTr="00806332">
        <w:trPr>
          <w:trHeight w:val="290"/>
        </w:trPr>
        <w:tc>
          <w:tcPr>
            <w:tcW w:w="194" w:type="dxa"/>
            <w:gridSpan w:val="4"/>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XIV. Concursos para ocupar cargos</w:t>
            </w: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Salario bruto mensual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Salario neto mensual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2263"/>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Hipervínculo al documento de la convocatoria, invitación y/o aviso en el que se indique la información necesaria para participar, entre otras: funciones a realizar, perfil del puesto, requisitos para participar, documentación solicitada, cómo y dónde registrarse, fases y fechas del proceso de selección, guías para evaluaciones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Estado del proceso del concurso, convocatoria, invitación y/o aviso (catálogo): En proceso/En evaluación/Finalizado/ Cancelado/ Desierto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Número total de candidatos registrados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versión pública del acta o documento que asigne al(la) ganador(a)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En su caso, hipervínculo al sistema electrónico de convocatorias y/o concursos correspondiente al sujeto obligado y el hipervínculo al mismo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el formato 14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 Relaciones laborales y recursos públicos a  sindicatos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74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20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Periodo de actualización de la información: trimestral; cuando se establezca, modifique o derogue cualquier norma laboral aplicable al sujeto obligado, la información normativa deberá actualizarse en un plazo no mayor a 15 días hábiles a partir de su publicación y/o aprobación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XVIII. El listado de servidores públicos con sanciones administrativas definitivas, especificando la causa de sanción y la disposición</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263"/>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XIX. Los servicios que ofrecen señalando los requisitos para acceder a ellos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Información adicional del servicio,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La información publicada se organiza mediante el formato 19,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4"/>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 Los trámites, requisitos y formatos que ofrecen</w:t>
            </w: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Información adicional del trámite,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el formato 20,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  La información financiera sobre el presupuesto asignado, así como los informes del ejercicio trimestral del gasto, en términos de la Ley General de Contabilidad Gubernamental y demás normatividad aplicable</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Modificado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Devengado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Pagado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Periodo de actualización de la información: trimestral y anual respecto del presupuesto anual asignado y la cuenta pública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26.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28.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se organiza mediante los formatos 21a, 21b y 21c,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90"/>
        </w:trPr>
        <w:tc>
          <w:tcPr>
            <w:tcW w:w="194" w:type="dxa"/>
            <w:gridSpan w:val="3"/>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XXIV. Resultados de auditorías</w:t>
            </w:r>
          </w:p>
        </w:tc>
        <w:tc>
          <w:tcPr>
            <w:tcW w:w="1097"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313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Tipo de acción determinada por el órgano fiscalizador, como pueden ser la emisión de una recomendación, pliego de observaciones, promoción del ejercicio de la facultad de comprobación fiscal, multa, responsabilidad administrativa sancionatoria, fincamiento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total de solventaciones y/o aclaraciones realizadas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0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2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u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806332" w:rsidRDefault="00806332">
            <w:pPr>
              <w:autoSpaceDE w:val="0"/>
              <w:autoSpaceDN w:val="0"/>
              <w:adjustRightInd w:val="0"/>
              <w:jc w:val="left"/>
              <w:rPr>
                <w:rFonts w:ascii="Calibri" w:hAnsi="Calibri" w:cs="Calibri"/>
                <w:color w:val="000000"/>
                <w:sz w:val="14"/>
                <w:szCs w:val="14"/>
              </w:rPr>
            </w:pPr>
          </w:p>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se organiza mediante el formato 24,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 Personas físicas o morales a quienes se asigne recursos públicos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 Concesiones, contratos, convenios, permisos, licencias o autorizaciones otorgados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convenio modificatorio, si así corresponde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27,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siguiente:</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124. La información publicada se organiza mediante los formatos 28a y 28b,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3"/>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 Estadísticas generadas</w:t>
            </w:r>
          </w:p>
        </w:tc>
        <w:tc>
          <w:tcPr>
            <w:tcW w:w="1097"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 Informe de avances programáticos o presupuestales, balances generales y su estado financiero</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61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90"/>
        </w:trPr>
        <w:tc>
          <w:tcPr>
            <w:tcW w:w="194" w:type="dxa"/>
            <w:gridSpan w:val="4"/>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XXXIII. Convenios con sectores social  y privado</w:t>
            </w: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2438"/>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20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XXXIV. El inventario de bienes muebles e inmuebles en posesión y propiedad</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313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Hipervínculo al Sistema de Información Inmobiliaria Federal y Paraestatal u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74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74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78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915"/>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lastRenderedPageBreak/>
              <w:t>Art. 70 - Fracción XXXV. Recomendaciones  y su atención en materia de derechos humanos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(versión pública) de la recomendación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Razón de la negativa (motivos y fundamentos)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Hipervínculo al oficio, documento oficial o medio por el cual se notifica la determinación de la CNDH</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Respuesta notificada a la CNDH o al organismo local respecto de la determinación (persistencia en la negativa de la recomendación o determinación de cumplir con ella)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en la que se notifica la respuesta (criterio que antecede),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Número de oficio, documento oficial o medio por el cual se notifica la respuesta a la CNDH</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denuncia ante el Ministerio Público o la autoridad administrativa competente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Hipervínculo a la versión publica del Sistema de Seguimiento a Recomendaciones emitidas por la CNDH (SISER) y/o sistemas homólogos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Hipervínculo al buscador de recomendaciones internacionales a México en materia de derechos humanos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43. Fecha en la que se emitió la información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44. Nombre con el que el sujeto obligado identifica el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45. Derecho(s) humano(s) violado(s)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46. Víctima(s)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792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47. Órgano emisor de conformidad con el siguiente (catálogo):</w:t>
            </w:r>
          </w:p>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Universal de Derechos Humanos</w:t>
            </w:r>
          </w:p>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Órganos creados en virtud de tratados: Comité contra las Desapariciones Forzadas/Comité de los Derechos Económicos, Sociales y Culturales/Comité de los Derechos del Niño/Comité de los Derechos Humanos/Comité para la Eliminación de la Discriminación Racial/Comité contra la Tortura/Comité para la Eliminación de la Discriminación contra la Mujer/Comité de la Protección de los Derechos de Todos los Trabajadores Migratorios y de sus Familiares/Subcomité para la Prevención de la Tortura</w:t>
            </w:r>
          </w:p>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Procedimientos especiales: Grupo de Trabajo sobre Desapariciones Forzadas7Grupo de Trabajo sobre la Detención Arbitraria/Relator Especial contra la Tortura/Relator Especial sobre la venta de niños, la prostitución infantil y la utilización de niños en la pornografía/Relator especial sobre los efectos nocivos para el goce de los derechos humanos del traslado y vertimiento ilícitos de productos y desechos tóxicos y peligrosos/Relator Especial sobre Ejecuciones Extrajudiciales, Sumarias o Arbitrarias/Relator Especial sobre la independencia de los magistrados y abogados/Relator Especial sobre los Derechos Humanos de los Migrantes/Relator Especial sobre una vivienda adecuada como parte del derecho a un nivel de vida adecuado, y sobre el derecho a la no discriminación/Representante del Secretario General sobre los desplazados internos/Relator Especial sobre la situación de los derechos humanos y las libertades fundamentales de los indígenas/Relator Especial sobre la violencia contra la mujer, sus causas y consecuencias/Relator Especial sobre el derecho a la Educación/Relator Especial sobre el derecho a la Libertad de Expresión/Relator Especial sobre el derecho a la Alimentación u otros órganos</w:t>
            </w:r>
          </w:p>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Interamericano de Derechos Humanos</w:t>
            </w:r>
          </w:p>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Sistema de casos y peticiones: Comisión Interamericana de Derechos Humanos/Corte Interamericana de Derechos Humanos</w:t>
            </w:r>
          </w:p>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Otros mecanismos</w:t>
            </w:r>
          </w:p>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Relatoría Especial sobre los derechos de los Trabajadores </w:t>
            </w:r>
            <w:r>
              <w:rPr>
                <w:rFonts w:ascii="Calibri" w:hAnsi="Calibri" w:cs="Calibri"/>
                <w:color w:val="000000"/>
                <w:sz w:val="14"/>
                <w:szCs w:val="14"/>
              </w:rPr>
              <w:lastRenderedPageBreak/>
              <w:t>Migratorios y Miembros de sus Familias/Relatoría Especial sobre la Libertad de Expresión/Relatoría Especial sobre Asuntos de la Mujer/Relatoría sobre los Derechos de las Personas Privadas de Libertad/Relatoría sobre los Derechos de las Personas Lesbianas, Gays, Bisexuales, Trans e Intersex/Relatoría sobre los Derechos de las Personas Afro-descendientes/Relatoría sobre los Derechos de los Pueblos Indígenas/Relatoría sobre Defensores y Defensoras de Derechos Humanos/Relatoría sobre los Derechos de la Niñez/Otro (especificar)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lastRenderedPageBreak/>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48. Fundamentos del caso o procedimiento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49. Etapa en la que se encuentra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50. Hipervínculo al informe, sentencia, resolución y/ o recomendación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51. Hipervínculo a la Ficha técnica completa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58.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59. La información publicada se organiza mediante los formatos 35a al 35c,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90"/>
        </w:trPr>
        <w:tc>
          <w:tcPr>
            <w:tcW w:w="194" w:type="dxa"/>
            <w:gridSpan w:val="4"/>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 Resoluciones y laudos de juicios</w:t>
            </w: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la resolución (versión pública)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el hipervínculo no enlaza al documento que corresponde, por lo tanto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al Boletín oficial o medios de difusión homólogos para emitir resoluciones jurisdiccionales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se organiza mediante el formato 36,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4"/>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 Mecanismos de participación ciudadana</w:t>
            </w: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el hipervínculo no enlaza al documento que corresponde, por lo tanto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34. La información publicada se organiza mediante los formatos 37a y 37b, en el que se incluyen todos los campos especificados en los criterios sustantivos de contenido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3"/>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XXXVIII. Programas ofrecidos</w:t>
            </w:r>
          </w:p>
        </w:tc>
        <w:tc>
          <w:tcPr>
            <w:tcW w:w="1097"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57. La información publicada se organiza mediante los formatos 38a y 38b,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 Evaluaciones y encuestas a programas financiados con recursos públicos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publicada se organiza mediante los formatos 40a y 40b,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El sujeto obligado no realizó la carga de la información en términos de los Lineamientos Técnicos Generales. Se le requiere cumplir con la carga de la información pública.</w:t>
            </w:r>
          </w:p>
        </w:tc>
      </w:tr>
      <w:tr w:rsidR="00806332" w:rsidTr="00806332">
        <w:trPr>
          <w:trHeight w:val="290"/>
        </w:trPr>
        <w:tc>
          <w:tcPr>
            <w:tcW w:w="194" w:type="dxa"/>
            <w:gridSpan w:val="4"/>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 Estudios pagados con recursos públicos</w:t>
            </w: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78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Forma y actores participantes en la elaboración del estudio (catálogo): Realizado por el sujeto obligado/Realizado en colaboración con instituciones u organismos públicos/Realizado en colaboración con organizaciones del sector social y privado y/o personas físicas/Realizado a solicitud del sujeto obligado a organizaciones del sector público, social, privado o personas físicas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Título del estudio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Área(s) al interior del sujeto obligado que fue responsable de la elaboración o coordinación del estudio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 la institución u organismo público o privado, que en su caso, colaboró en la elaboración del estudio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7. ISBN[1] o ISSN[2], en su caso.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Objeto del estudio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Autor(es) intelectual(es) del estudio (nombre[s], primer apellido, segundo apellido, denominación)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publicación del estudio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Número de edición para aquellos estudios, publicados en libro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Lugar de publicación (indicar el nombre de la ciudad)</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74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13. Hipervínculo a los contratos, convenios de colaboración, coordinación o figuras análogas celebrados por el sujeto obligado con el fin de elaborar los estudios. En caso de que no se haya celebrado alguno, deberá especificarlo.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Monto total de los recursos públicos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Monto total de los recursos privados destinados a la elaboración del estudio (en Pesos mexicanos)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 los documentos que conforman el estudio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Periodo de actualización de la información: trimestral. En su caso, 30 días hábiles después de publicar los resultados del estudio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41,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0"/>
        </w:trPr>
        <w:tc>
          <w:tcPr>
            <w:tcW w:w="194" w:type="dxa"/>
            <w:gridSpan w:val="4"/>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XLIII. Ingresos totales del sujeto obligado</w:t>
            </w: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Hipervínculo al informe de destino de los ingresos recibidos (Informe de avance trimestral u homólogo)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74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Área(s) responsable(s) que genera(n), posee(n), 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0"/>
        </w:trPr>
        <w:tc>
          <w:tcPr>
            <w:tcW w:w="194" w:type="dxa"/>
            <w:gridSpan w:val="4"/>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XLIV. Donaciones en dinero o en especie</w:t>
            </w: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61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del(a) servidor(a) público(a) y/o toda persona que desempeñe un cargo o comisión y/o ejerza actos de autoridad, facultada por el sujeto obligado donante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74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61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Fracción XLV. El catálogo de disposición y guía de archivo documental;</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6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6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Periodo de actualización de la información: anual y semestral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11.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45,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0"/>
        </w:trPr>
        <w:tc>
          <w:tcPr>
            <w:tcW w:w="194" w:type="dxa"/>
            <w:gridSpan w:val="4"/>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70 - Último Párrafo. Aplicabilidad y conservación</w:t>
            </w: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el hipervínculo no enlaza al documento que corresponde, por lo tanto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3"/>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71 - Fracción I - Inciso A. Plan de Desarrollo</w:t>
            </w:r>
          </w:p>
        </w:tc>
        <w:tc>
          <w:tcPr>
            <w:tcW w:w="1097"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4932" w:type="dxa"/>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Denominación del Plan de Desarrollo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Ámbito de aplicación: Nacional/Estatal/Municipal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9. Fecha de publicación en el Diario Oficial de la Federación, periódico o gaceta oficial,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Descripción breve de los objetivos del Plan correspondiente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Descripción breve de las metas planeadas en la administración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Descripción breve de las estrategias transversales para la implementación del Plan de Desarrollo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Descripción de la metodología utilizada para la constitución del Plan (consultas, foros, sectores sociales para la elaboración del Plan)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14. Fecha de última modificación, en el Diario Oficial de la Federación, periódico o gaceta oficial, en su caso, expresada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Programa correspondiente, publicado en el Diario Oficial de la Federación, periódico o gaceta oficial que corresponda completo y vigente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3833"/>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Periodo de actualización de la información: sexenal para el Poder Ejecutivo Federal. Las entidades federativas y el Gobierno de la Ciudad de México: cuando se decrete el Plan respectivo cada seis años; en caso de que el Congreso de la Unión realice observaciones para su ejecución, revisión o adecuación, se actualizará en marzo de cada año. Trianual para los municipios (Ayuntamientos), los cuales actualizarán el Plan Municipal de Desarrollo cada tres o cuatro años, dependiendo de la legislación local que corresponda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19.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20.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21.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el formato 1a,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bl>
    <w:p w:rsidR="00806332" w:rsidRDefault="00806332" w:rsidP="00806332">
      <w:pPr>
        <w:rPr>
          <w:rFonts w:ascii="Arial" w:hAnsi="Arial" w:cs="Arial"/>
          <w:sz w:val="14"/>
        </w:rPr>
      </w:pPr>
    </w:p>
    <w:p w:rsidR="0028212A" w:rsidRDefault="00806332" w:rsidP="00806332">
      <w:pPr>
        <w:jc w:val="center"/>
        <w:rPr>
          <w:rFonts w:ascii="Arial" w:hAnsi="Arial" w:cs="Arial"/>
          <w:b/>
          <w:sz w:val="20"/>
        </w:rPr>
      </w:pPr>
      <w:r w:rsidRPr="00806332">
        <w:rPr>
          <w:rFonts w:ascii="Arial" w:hAnsi="Arial" w:cs="Arial"/>
          <w:b/>
          <w:sz w:val="20"/>
        </w:rPr>
        <w:t>Requerimientos derivados de la verificación de las obligaciones de transparencia establecidas en la Ley Número 875 de Transparencia y Acceso a la Información Pública del Estado de Veracruz de Ignacio de la Llave</w:t>
      </w:r>
      <w:r w:rsidRPr="00806332">
        <w:rPr>
          <w:rFonts w:ascii="Arial" w:hAnsi="Arial" w:cs="Arial"/>
          <w:b/>
          <w:sz w:val="20"/>
        </w:rPr>
        <w:tab/>
      </w:r>
    </w:p>
    <w:p w:rsidR="0028212A" w:rsidRDefault="0028212A" w:rsidP="00806332">
      <w:pPr>
        <w:jc w:val="center"/>
        <w:rPr>
          <w:rFonts w:ascii="Arial" w:hAnsi="Arial" w:cs="Arial"/>
          <w:b/>
          <w:sz w:val="20"/>
        </w:rPr>
      </w:pPr>
    </w:p>
    <w:p w:rsidR="00806332" w:rsidRDefault="00806332" w:rsidP="00806332">
      <w:pPr>
        <w:jc w:val="center"/>
        <w:rPr>
          <w:rFonts w:ascii="Arial" w:hAnsi="Arial" w:cs="Arial"/>
          <w:b/>
          <w:sz w:val="20"/>
        </w:rPr>
      </w:pPr>
      <w:r w:rsidRPr="00806332">
        <w:rPr>
          <w:rFonts w:ascii="Arial" w:hAnsi="Arial" w:cs="Arial"/>
          <w:b/>
          <w:sz w:val="20"/>
        </w:rPr>
        <w:tab/>
      </w:r>
      <w:r w:rsidRPr="00806332">
        <w:rPr>
          <w:rFonts w:ascii="Arial" w:hAnsi="Arial" w:cs="Arial"/>
          <w:b/>
          <w:sz w:val="20"/>
        </w:rPr>
        <w:tab/>
      </w:r>
    </w:p>
    <w:tbl>
      <w:tblPr>
        <w:tblW w:w="0" w:type="auto"/>
        <w:tblInd w:w="-30" w:type="dxa"/>
        <w:tblLayout w:type="fixed"/>
        <w:tblCellMar>
          <w:left w:w="70" w:type="dxa"/>
          <w:right w:w="70" w:type="dxa"/>
        </w:tblCellMar>
        <w:tblLook w:val="0000" w:firstRow="0" w:lastRow="0" w:firstColumn="0" w:lastColumn="0" w:noHBand="0" w:noVBand="0"/>
      </w:tblPr>
      <w:tblGrid>
        <w:gridCol w:w="194"/>
        <w:gridCol w:w="2000"/>
        <w:gridCol w:w="871"/>
        <w:gridCol w:w="1097"/>
        <w:gridCol w:w="4932"/>
      </w:tblGrid>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bookmarkStart w:id="0" w:name="_GoBack"/>
            <w:r>
              <w:rPr>
                <w:rFonts w:ascii="Calibri" w:hAnsi="Calibri" w:cs="Calibri"/>
                <w:b/>
                <w:bCs/>
                <w:color w:val="000000"/>
                <w:sz w:val="14"/>
                <w:szCs w:val="14"/>
              </w:rPr>
              <w:t>Art. 15 - Fracción XII. La información en Versión Pública de las declaraciones patrimoniales, de los Servidores Públicos que así lo determinen, en los sistemas habilitados para ello de acuerdo a la normatividad aplicable;</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452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296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296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El sujeto obligado no realizó la carga de la información en términos de los </w:t>
            </w:r>
            <w:r w:rsidR="0083445C">
              <w:rPr>
                <w:rFonts w:ascii="Calibri" w:hAnsi="Calibri" w:cs="Calibri"/>
                <w:color w:val="000000"/>
                <w:sz w:val="14"/>
                <w:szCs w:val="14"/>
              </w:rPr>
              <w:t>Lineamientos</w:t>
            </w:r>
            <w:r>
              <w:rPr>
                <w:rFonts w:ascii="Calibri" w:hAnsi="Calibri" w:cs="Calibri"/>
                <w:color w:val="000000"/>
                <w:sz w:val="14"/>
                <w:szCs w:val="14"/>
              </w:rPr>
              <w:t xml:space="preserve"> Técnicos Generales. Se le requiere al Sujeto Obligado cumplir con la carga de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74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261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Día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con nota,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contiene nota no fundada ni motivada, justificando la carencia de información, incumple con los Lineamientos Técnicos generales. Se le requiere cumplicar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La información publicada se organiza mediante los formatos 39a, 39b, 39c, 39d1 y 39d2,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 Las actas de sesiones ordinarias y extraordinarias y sus anexos, así como las opiniones y recomendaciones que emitan, en su caso, los consejos consultivos;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Fecha expresada en que se realizaron las sesiones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Tipo de acta (catálogo): ordinaria/extraordinaria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Número de la sesión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Número del acta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Orden del día; en su caso, incluir un hipervínculo al documento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Hipervínculo a los documentos completos de las actas (versiones públicas)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 los anexos de las actas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documento (catálogo): recomendación/opinión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en la que se emitieron las opiniones y recomendaciones,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Asunto o tema de las opiniones o recomendaciones (breve explicación)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 los documentos completos de las opiniones y/o recomendaciones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Actualizar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se organiza mediante los formatos 46a y 46b,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XLVIII. Las enajenaciones y otros actos jurídicos relacionados con bienes públicos, indicando los motivos, beneficiarios o adquirientes, así como los montos de las operaciones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Acto jurídico (administrativo)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Bien(es) público(s) relacionado(s) con el acto jurídico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Motivos que lo justifican (ej: promover, orientar, facilitar un servicio inherente al sujeto obligado)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Nombre del adquiriente (s) primer apellido, segundo apellido. En su caso, incluir una leyenda que especifique el motivo por el cual no existe adquiriente (s)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Monto de las operaciones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Hipervínculo al documento que respalda el acto jurídico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actualización de la información publicada con el formato día/mes/año (por ej. 30/ Octubre/2016)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Fecha de validación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La información publicada se organiza mediante el formato 48,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XLIX. Las cuentas públicas estatales y municipales, así como los documentos relativos, incluyendo el informe del resultado de su revisión y su dictamen</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 Los índices de expedientes clasificados como reservados, elaborados semestralmente y por rubros temáticos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publicada se organiza mediante el formato 52,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15 - Fracción LIII. La información desclasificada, la cual deberá de permanecer cinco años posteriores a partir de que perdió su clasificación, y</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La información publicada se organiza mediante el formato 53,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C. El presupuesto de egresos y las fórmulas de distribución de los recursos otorgados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documento con los criterios de gasto que deben observarse en la administración de los recursos públicos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 la “Versión  Ciudadana” del Presupuesto de Egresos de la Federación, que elabora la Secretaría de Hacienda y Crédito Público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algunos registros no contienen información, incumple con los Lineamientos Técnicos Generales. Se le requiere con la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D. El listado de expropiaciones decretadas y ejecutadas que incluya, cuando menos, la fecha de expropiación, el domicilio y la causa de utilidad pública y las ocupaciones superficiales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expropiación: Decretadas/Ejecutadas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de la autoridad administrativa expropiante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Nombre de la persona física (nombre[s], primer apellido, segundo apellido) o razón social de la persona moral expropiada,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313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Domicilio del predio expropiado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Tipo de propiedad objeto de la expropiación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polígono o plano del bien expropiado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Causa de utilidad pública por la que se expropió el bien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Fecha de publicación del decreto o declaratoria de expropiación en el Diario Oficial de la Federación, periódico o Gaceta Oficial correspondiente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Hipervínculo al Decreto o Declaratoria de expropiación (en donde se fundamenta y motiva la causa de utilidad pública)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Fecha de ejecución de expropiación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Nombre de la autoridad administrativa que ejecutó la expropiación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Destino que se le dio al bien expropiado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Monto de la indemnización por la Ocupación superficial del bien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Monto de la indemnización por el bien expropiado, en su caso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 los documentos que dan inicio a los procedimientos de expropiación y/o expediente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La información publicada se organiza mediante el formato 4a y 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que dirija a la ruta específica hacia la información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Personería jurídica: Persona física/persona moral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915"/>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en el caso de las personas físicas (nombre[s], primer apellido, segundo apellido); razón social si se trata de personas morales, gobiernos o instituciones deudoras que recibieron cancelación o condonación de créditos fiscales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Registro Federal de Contribuyentes (RFC), de la persona física o moral, gobiernos o instituciones deudoras.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Entidad Federativa a la que pertenece la persona física o moral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la solicitud de la cancelación o condonación, con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crédito fiscal condonado o cancelado (catálogo): Contribuciones federales o estatales/ Cuotas compensatorias/ Actualizaciones y accesorios/ Multas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Monto cancelado o condonado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Justificación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15. Fecha de la cancelación o condonación,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Denominación de la autoridad externa o interna que determinó el crédito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Denominación de la autoridad responsable de la cancelación o condonación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al listado de Créditos fiscales cancelados o condonados publicados por el SAT y/o a las resoluciones que contengan la determinación de cancelación o condonación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Tipo  de  contribución  que  se  exentó  del  pago:  Contribuciones  federales  o estatales/Cuotas compensatorias/Actualizaciones y accesorios/Multas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Número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Monto total por tipo de crédito fiscal que se exenta del pago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Número total (global) de exenciones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Monto total (global) de las exenciones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Estadística de las causas o motivos de las condonaciones o exenciones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Denominación de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567"/>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Hipervínculo  a  los  documentos  técnicos,  metodológicos  relacionados  con  las normas científicas sobre las fuentes, métodos, procedimientos de la estadística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Tipos de archivo de las bases de datos: HTML, XLS, IQY, CSV, XML, SAV, otro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La información publicada se organiza mediante los formatos 5a, 5b y 5c,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F. Los nombres de las personas a quienes se les habilitó para ejercer como notarios públicos, así como sus datos de contacto, la información relacionada con el proceso de otorgamiento de la patente y las sanciones que se les hubieran aplicado</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patente o habilitación: Notario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completo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notaría a la que pertenece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de registro o documento que lo (la autoriza, la patente o habilitación (por ejemplo: en el caso de notario, el número de fiat notarial)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en que comenzó a ejercer funciones, con el formato 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74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Tipo de servicios que ofrece (testamentos, poderes, constitución de sociedades; así como de aquéllos cuyo objeto sean inmuebles, por ejemplo: compraventas, donaciones, hipotecas, fideicomisos y adjudicaciones por herencia)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313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Domicilio de la notaría (tipo de vialidad [catálogo], nombre de vialidad[calle],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Número(s) de teléfono oficial(es) y extensión(es)/Fax</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Dirección de correo electrónico oficial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Hipervínculo al padrón de Notarios Públicos registrados por el SAT</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Descripción del proceso de habilitación o nombramiento (breve descripción de las etapas en las que consiste el proceso, de acuerdo con la legislación correspondiente)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Hipervínculo a los requisitos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Hipervínculo al resultado del examen para aspirante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Hipervínculo al resultado del examen definitivo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 xml:space="preserve">Criterio 22. Hipervínculo al currículum del notario (en versión pública)  </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23. Fecha de habilitación o nombramiento con el formato 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24. Plaza (entidad federativa)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25. Estatus de la habilitación o nombramiento: En trámite/En ejercicio/En separación/En suspensión/Cancelada/Otro (especificar)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26.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27.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28. Nombre del notario sancionado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29. Número de notaria a la que pertenece</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915"/>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30. Tipo de sanción recibida, de acuerdo con la legislación correspondiente: Amonestación/Multas (especificar monto)/Suspensión temporal (especificar período en número de días)/Cesación de funciones/Cancelación/Otra (especificar)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31. Motivo de la sanción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32. Fecha de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33. Fundamento jurídico por el que se le sancionó (Denominación de la normatividad, artículo, fracción o inciso)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34. Estatus del cumplimiento de sanción: En proceso/Cumplida/No atendida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35.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36.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42. La información publicada se organiza mediante los formatos 6a, 6b y 6c, en los queso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H. Tratándose  de  concesiones  de  transporte  público,  se  deberá  publicar además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Mensaje: “La publicación y actualización de la información está a cargo de &lt;&lt;incluir la denominación del sujeto obligado&gt;&gt;”</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Hipervínculo al portal de transparencia del sujeto obligado que hayan referido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Tipo de concesión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Nombre y apellidos del concesionario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Número de placas</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Número de tarjeta de circulación del vehículo que presta el servicio concesionado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En su caso, hipervínculo al acta constitutiva, cuando se trate de persona moral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Hipervínculo al documento que acredite el importe pagado de la concesión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aclaratoria (en caso de que sea necesario para complementar o aclarar)</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17.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18.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21. La información publicada se organiza mediante el formato 8a y 8b,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52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0.5</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Se indica que no contiene información correspondiente al cuarto trimestre en términos de los Lineamientos Técnicos Generales. Se le requiere al sujeto obligado cumplir con la carga de información pública.</w:t>
            </w:r>
          </w:p>
        </w:tc>
      </w:tr>
      <w:tr w:rsidR="00806332" w:rsidTr="00806332">
        <w:trPr>
          <w:trHeight w:val="290"/>
        </w:trPr>
        <w:tc>
          <w:tcPr>
            <w:tcW w:w="194" w:type="dxa"/>
            <w:gridSpan w:val="5"/>
            <w:tcBorders>
              <w:top w:val="nil"/>
              <w:left w:val="nil"/>
              <w:bottom w:val="single" w:sz="6" w:space="0" w:color="auto"/>
              <w:right w:val="nil"/>
            </w:tcBorders>
          </w:tcPr>
          <w:p w:rsidR="00806332" w:rsidRDefault="00806332">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Art. 16 - Fracción I, Inciso K. El listado de las becas y los apoyos que otorgan, así como los procedimientos y requisitos para obtenerlos</w:t>
            </w:r>
          </w:p>
        </w:tc>
      </w:tr>
      <w:tr w:rsidR="00806332" w:rsidTr="00806332">
        <w:trPr>
          <w:trHeight w:val="290"/>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b/>
                <w:bCs/>
                <w:color w:val="000000"/>
                <w:sz w:val="14"/>
                <w:szCs w:val="14"/>
              </w:rPr>
            </w:pPr>
          </w:p>
        </w:tc>
        <w:tc>
          <w:tcPr>
            <w:tcW w:w="2000"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Criterio</w:t>
            </w:r>
          </w:p>
        </w:tc>
        <w:tc>
          <w:tcPr>
            <w:tcW w:w="871"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Valoración</w:t>
            </w:r>
          </w:p>
        </w:tc>
        <w:tc>
          <w:tcPr>
            <w:tcW w:w="1097"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Tipo</w:t>
            </w:r>
          </w:p>
        </w:tc>
        <w:tc>
          <w:tcPr>
            <w:tcW w:w="4932" w:type="dxa"/>
            <w:tcBorders>
              <w:top w:val="nil"/>
              <w:left w:val="nil"/>
              <w:bottom w:val="nil"/>
              <w:right w:val="nil"/>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Observaciones, Recomendaciones y/o Requerimientos</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 Ejercicio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3. Descripción del tipo de beca o apoyo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4. Breve descripción del procedimiento para obtener la beca o apoyo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5. Breve descripción de los requisitos para obtener la beca o apoyo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6. Hipervínculo al formato aplicable, en caso de que exista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7.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8.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9.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044"/>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11. Fecha de actualización de la información publicada con el formato día/mes/año (por ej.30/Octubre/2016)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871"/>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12. Fecha de validación de la información publicada con el formato día/mes/año (por ej.16/Octubre/2016)</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392"/>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1219"/>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14. La información publicada se organiza mediante el formato 11,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tr w:rsidR="00806332" w:rsidTr="00806332">
        <w:trPr>
          <w:trHeight w:val="696"/>
        </w:trPr>
        <w:tc>
          <w:tcPr>
            <w:tcW w:w="194" w:type="dxa"/>
            <w:tcBorders>
              <w:top w:val="nil"/>
              <w:left w:val="single" w:sz="6" w:space="0" w:color="FFFFFF"/>
              <w:bottom w:val="nil"/>
              <w:right w:val="nil"/>
            </w:tcBorders>
          </w:tcPr>
          <w:p w:rsidR="00806332" w:rsidRDefault="00806332">
            <w:pPr>
              <w:autoSpaceDE w:val="0"/>
              <w:autoSpaceDN w:val="0"/>
              <w:adjustRightInd w:val="0"/>
              <w:jc w:val="center"/>
              <w:rPr>
                <w:rFonts w:ascii="Calibri" w:hAnsi="Calibri" w:cs="Calibri"/>
                <w:color w:val="000000"/>
                <w:sz w:val="14"/>
                <w:szCs w:val="14"/>
              </w:rPr>
            </w:pPr>
          </w:p>
        </w:tc>
        <w:tc>
          <w:tcPr>
            <w:tcW w:w="2000"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0</w:t>
            </w:r>
          </w:p>
        </w:tc>
        <w:tc>
          <w:tcPr>
            <w:tcW w:w="1097"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Requerimiento</w:t>
            </w:r>
          </w:p>
        </w:tc>
        <w:tc>
          <w:tcPr>
            <w:tcW w:w="4932" w:type="dxa"/>
            <w:tcBorders>
              <w:top w:val="single" w:sz="6" w:space="0" w:color="auto"/>
              <w:left w:val="single" w:sz="6" w:space="0" w:color="auto"/>
              <w:bottom w:val="single" w:sz="6" w:space="0" w:color="auto"/>
              <w:right w:val="single" w:sz="6" w:space="0" w:color="auto"/>
            </w:tcBorders>
          </w:tcPr>
          <w:p w:rsidR="00806332" w:rsidRDefault="00806332">
            <w:pPr>
              <w:autoSpaceDE w:val="0"/>
              <w:autoSpaceDN w:val="0"/>
              <w:adjustRightInd w:val="0"/>
              <w:jc w:val="left"/>
              <w:rPr>
                <w:rFonts w:ascii="Calibri" w:hAnsi="Calibri" w:cs="Calibri"/>
                <w:color w:val="000000"/>
                <w:sz w:val="14"/>
                <w:szCs w:val="14"/>
              </w:rPr>
            </w:pPr>
            <w:r>
              <w:rPr>
                <w:rFonts w:ascii="Calibri" w:hAnsi="Calibri" w:cs="Calibri"/>
                <w:color w:val="000000"/>
                <w:sz w:val="14"/>
                <w:szCs w:val="14"/>
              </w:rPr>
              <w:t>En este criterio se indica que el registro no contiene información, y no se justifica devidamente en la nota, por lo que incumple con los Lineamientos Técnicos Generales. Se le requiere cumplir con la información pública.</w:t>
            </w:r>
          </w:p>
        </w:tc>
      </w:tr>
      <w:bookmarkEnd w:id="0"/>
    </w:tbl>
    <w:p w:rsidR="00806332" w:rsidRDefault="00806332" w:rsidP="00806332">
      <w:pPr>
        <w:rPr>
          <w:rFonts w:ascii="Arial" w:hAnsi="Arial" w:cs="Arial"/>
          <w:sz w:val="14"/>
        </w:rPr>
      </w:pPr>
    </w:p>
    <w:p w:rsidR="00806332" w:rsidRPr="00806332" w:rsidRDefault="00806332" w:rsidP="00806332">
      <w:pPr>
        <w:rPr>
          <w:rFonts w:ascii="Arial" w:hAnsi="Arial" w:cs="Arial"/>
          <w:sz w:val="20"/>
        </w:rPr>
      </w:pPr>
      <w:r w:rsidRPr="00806332">
        <w:rPr>
          <w:rFonts w:ascii="Arial" w:hAnsi="Arial" w:cs="Arial"/>
          <w:sz w:val="20"/>
        </w:rPr>
        <w:t>TERCERO. Se instruye al sujeto obligado Secretaría de Educación de Veracruz para que, dentro del plazo de hasta diez días, contados a partir del día hábil siguiente al de la notificación del presente dictamen, a través del titular del área responsable de publicar la información relativa a los artículos y fracciones descritas en el numeral SEGUNDO del dictamen, atienda los requerimientos contenidos en la Memoria Técnica de Verificación, respecto a sus obligaciones de transparencia, de conformidad con lo dispuesto en los artículo 88, fracción II de la Ley General de Transparencia, 32, fracción II de la Ley número 875 de Transparencia; 13,14 y 16 de los Lineamientos de verificación.</w:t>
      </w:r>
    </w:p>
    <w:p w:rsidR="00806332" w:rsidRPr="00806332" w:rsidRDefault="00806332" w:rsidP="00806332">
      <w:pPr>
        <w:rPr>
          <w:rFonts w:ascii="Arial" w:hAnsi="Arial" w:cs="Arial"/>
          <w:sz w:val="20"/>
        </w:rPr>
      </w:pPr>
      <w:r w:rsidRPr="00806332">
        <w:rPr>
          <w:rFonts w:ascii="Arial" w:hAnsi="Arial" w:cs="Arial"/>
          <w:sz w:val="20"/>
        </w:rPr>
        <w:t>CUARTO. Se instruye al sujeto obligado para que al día hábil siguiente de transcurrido el plazo establecido en el artículo 16 de los Lineamientos, informe a este Instituto sobre su atención por medio oficialía de partes, o en su caso, a las direcciones de correo electrónico siguientes direcciondecapacitación.ivai@outlook.com y contacto@verivai.org.mx; en términos del artículo 16 de los Lineamientos de verificación; debiendo precisar en el informe el nombre y cargo del responsable de publicar la información, así como el de su superior jerárquico.</w:t>
      </w:r>
    </w:p>
    <w:p w:rsidR="00806332" w:rsidRPr="00806332" w:rsidRDefault="00806332" w:rsidP="00806332">
      <w:pPr>
        <w:rPr>
          <w:rFonts w:ascii="Arial" w:hAnsi="Arial" w:cs="Arial"/>
          <w:sz w:val="20"/>
        </w:rPr>
      </w:pPr>
      <w:r w:rsidRPr="00806332">
        <w:rPr>
          <w:rFonts w:ascii="Arial" w:hAnsi="Arial" w:cs="Arial"/>
          <w:sz w:val="20"/>
        </w:rPr>
        <w:t>QUINTO. Se hace del conocimiento del sujeto obligado que, en caso de no solventar los requerimientos, se procederá en términos de lo previsto en el artículo 88 de la Ley General de Transparencia y Acceso a la Información Pública, en relación con el artículo 32, fracción II de la Ley número 875 de Transparencia, y 13, 14 y 16 de los Lineamientos de verificación, por lo que el responsable de publicar la información o, en su caso, el Titular de la Unidad de Transparencia, podría hacerse acreedor a la imposición de una medida de apremio, de conformidad con lo señalado en los artículos 198 y 201 de la Ley General de Transparencia y Acceso a la Información Pública, y sus correlativos 240, 242, y 252, de la Ley número 875 de Transparencia y Acceso a la Información Pública del estado de Veracruz.</w:t>
      </w:r>
    </w:p>
    <w:p w:rsidR="00806332" w:rsidRPr="00806332" w:rsidRDefault="00806332" w:rsidP="00806332">
      <w:pPr>
        <w:rPr>
          <w:rFonts w:ascii="Arial" w:hAnsi="Arial" w:cs="Arial"/>
          <w:sz w:val="20"/>
        </w:rPr>
      </w:pPr>
      <w:r w:rsidRPr="00806332">
        <w:rPr>
          <w:rFonts w:ascii="Arial" w:hAnsi="Arial" w:cs="Arial"/>
          <w:sz w:val="20"/>
        </w:rPr>
        <w:t>Lo anterior, con independencia de que, en su caso, se podrían configurar las causas de sanción establecidas en las fracciones II y XIV, del artículo 257, de la Ley número 875 de Transparencia local.</w:t>
      </w:r>
    </w:p>
    <w:p w:rsidR="00806332" w:rsidRPr="00806332" w:rsidRDefault="00806332" w:rsidP="00806332">
      <w:pPr>
        <w:rPr>
          <w:rFonts w:ascii="Arial" w:hAnsi="Arial" w:cs="Arial"/>
          <w:sz w:val="20"/>
        </w:rPr>
      </w:pPr>
      <w:r w:rsidRPr="00806332">
        <w:rPr>
          <w:rFonts w:ascii="Arial" w:hAnsi="Arial" w:cs="Arial"/>
          <w:sz w:val="20"/>
        </w:rPr>
        <w:t>SEXTO. Notifíquese el presente dictamen y su anexo al sujeto obligado denominado Secretaría de Educación de Veracruz, por medio del Sistema de Notificaciones Electrónicas, dentro de los tres días hábiles siguientes a su aprobación, con fundamento en el artículo 15 de los Lineamientos de verificación.</w:t>
      </w:r>
    </w:p>
    <w:p w:rsidR="00806332" w:rsidRDefault="00806332" w:rsidP="00806332">
      <w:pPr>
        <w:rPr>
          <w:rFonts w:ascii="Arial" w:hAnsi="Arial" w:cs="Arial"/>
          <w:sz w:val="20"/>
        </w:rPr>
      </w:pPr>
      <w:r w:rsidRPr="00806332">
        <w:rPr>
          <w:rFonts w:ascii="Arial" w:hAnsi="Arial" w:cs="Arial"/>
          <w:sz w:val="20"/>
        </w:rPr>
        <w:t>Así lo dictaminó Victoria Leticia Reyes Grajeda, Directora de Archivos, en la Ciudad de Xalapa, treinta de septiembre de dos mil veinte.</w:t>
      </w:r>
    </w:p>
    <w:p w:rsidR="00806332" w:rsidRDefault="00806332" w:rsidP="00806332">
      <w:pPr>
        <w:rPr>
          <w:rFonts w:ascii="Arial" w:hAnsi="Arial" w:cs="Arial"/>
          <w:sz w:val="20"/>
        </w:rPr>
      </w:pPr>
    </w:p>
    <w:p w:rsidR="00806332" w:rsidRDefault="00806332" w:rsidP="00806332">
      <w:pPr>
        <w:rPr>
          <w:rFonts w:ascii="Arial" w:hAnsi="Arial" w:cs="Arial"/>
          <w:sz w:val="20"/>
        </w:rPr>
      </w:pPr>
    </w:p>
    <w:p w:rsidR="00806332" w:rsidRDefault="00806332" w:rsidP="00806332">
      <w:pPr>
        <w:rPr>
          <w:rFonts w:ascii="Arial" w:hAnsi="Arial" w:cs="Arial"/>
          <w:sz w:val="20"/>
        </w:rPr>
      </w:pPr>
    </w:p>
    <w:p w:rsidR="00806332" w:rsidRDefault="00806332" w:rsidP="00806332">
      <w:pPr>
        <w:rPr>
          <w:rFonts w:ascii="Arial" w:hAnsi="Arial" w:cs="Arial"/>
          <w:sz w:val="20"/>
        </w:rPr>
      </w:pPr>
    </w:p>
    <w:p w:rsidR="00806332" w:rsidRPr="00806332" w:rsidRDefault="00806332" w:rsidP="00806332">
      <w:pPr>
        <w:jc w:val="center"/>
        <w:rPr>
          <w:rFonts w:ascii="Arial" w:hAnsi="Arial" w:cs="Arial"/>
          <w:sz w:val="20"/>
        </w:rPr>
      </w:pPr>
      <w:r w:rsidRPr="00806332">
        <w:rPr>
          <w:rFonts w:ascii="Arial" w:hAnsi="Arial" w:cs="Arial"/>
          <w:sz w:val="20"/>
        </w:rPr>
        <w:t>Victoria Leticia Reyes Grajeda</w:t>
      </w:r>
    </w:p>
    <w:p w:rsidR="00806332" w:rsidRDefault="00806332" w:rsidP="00806332">
      <w:pPr>
        <w:jc w:val="center"/>
        <w:rPr>
          <w:rFonts w:ascii="Arial" w:hAnsi="Arial" w:cs="Arial"/>
          <w:sz w:val="20"/>
        </w:rPr>
      </w:pPr>
      <w:r w:rsidRPr="00806332">
        <w:rPr>
          <w:rFonts w:ascii="Arial" w:hAnsi="Arial" w:cs="Arial"/>
          <w:sz w:val="20"/>
        </w:rPr>
        <w:t>Directora de Archivos</w:t>
      </w:r>
    </w:p>
    <w:p w:rsidR="00806332" w:rsidRDefault="00806332" w:rsidP="00806332">
      <w:pPr>
        <w:jc w:val="center"/>
        <w:rPr>
          <w:rFonts w:ascii="Arial" w:hAnsi="Arial" w:cs="Arial"/>
          <w:sz w:val="20"/>
        </w:rPr>
      </w:pPr>
    </w:p>
    <w:p w:rsidR="00806332" w:rsidRDefault="00806332" w:rsidP="00806332">
      <w:pPr>
        <w:jc w:val="center"/>
        <w:rPr>
          <w:rFonts w:ascii="Arial" w:hAnsi="Arial" w:cs="Arial"/>
          <w:sz w:val="20"/>
        </w:rPr>
      </w:pPr>
    </w:p>
    <w:p w:rsidR="00806332" w:rsidRPr="00806332" w:rsidRDefault="00806332" w:rsidP="00806332">
      <w:pPr>
        <w:jc w:val="center"/>
        <w:rPr>
          <w:rFonts w:ascii="Arial" w:hAnsi="Arial" w:cs="Arial"/>
          <w:sz w:val="20"/>
        </w:rPr>
      </w:pPr>
    </w:p>
    <w:sectPr w:rsidR="00806332" w:rsidRPr="00806332" w:rsidSect="00373CA2">
      <w:headerReference w:type="default" r:id="rId8"/>
      <w:pgSz w:w="12240" w:h="15840"/>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88" w:rsidRDefault="00677688" w:rsidP="00E418E4">
      <w:r>
        <w:separator/>
      </w:r>
    </w:p>
  </w:endnote>
  <w:endnote w:type="continuationSeparator" w:id="0">
    <w:p w:rsidR="00677688" w:rsidRDefault="0067768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88" w:rsidRDefault="00677688" w:rsidP="00E418E4">
      <w:r>
        <w:separator/>
      </w:r>
    </w:p>
  </w:footnote>
  <w:footnote w:type="continuationSeparator" w:id="0">
    <w:p w:rsidR="00677688" w:rsidRDefault="0067768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2A" w:rsidRDefault="0028212A" w:rsidP="007308AC">
    <w:pPr>
      <w:pStyle w:val="Encabezado"/>
      <w:tabs>
        <w:tab w:val="clear" w:pos="4419"/>
        <w:tab w:val="clear" w:pos="8838"/>
        <w:tab w:val="left" w:pos="7065"/>
      </w:tabs>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1B69E291">
          <wp:simplePos x="0" y="0"/>
          <wp:positionH relativeFrom="column">
            <wp:posOffset>-457200</wp:posOffset>
          </wp:positionH>
          <wp:positionV relativeFrom="paragraph">
            <wp:posOffset>-161290</wp:posOffset>
          </wp:positionV>
          <wp:extent cx="7718807" cy="10052683"/>
          <wp:effectExtent l="0" t="0" r="0" b="635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Pr>
        <w:rFonts w:ascii="Frutiger 55 Roman" w:hAnsi="Frutiger 55 Roman"/>
        <w:b/>
        <w:noProof/>
        <w:lang w:eastAsia="es-MX"/>
      </w:rPr>
      <w:drawing>
        <wp:anchor distT="0" distB="0" distL="114300" distR="114300" simplePos="0" relativeHeight="251656704" behindDoc="1" locked="0" layoutInCell="1" allowOverlap="1" wp14:anchorId="0041DC72" wp14:editId="2C08F0AF">
          <wp:simplePos x="0" y="0"/>
          <wp:positionH relativeFrom="column">
            <wp:posOffset>-452717</wp:posOffset>
          </wp:positionH>
          <wp:positionV relativeFrom="paragraph">
            <wp:posOffset>-45869</wp:posOffset>
          </wp:positionV>
          <wp:extent cx="6803502" cy="1381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utiger 45 Light" w:hAnsi="Frutiger 45 Light"/>
      </w:rPr>
      <w:tab/>
    </w:r>
  </w:p>
  <w:p w:rsidR="0028212A" w:rsidRPr="00B24754" w:rsidRDefault="0028212A" w:rsidP="001E07AF">
    <w:pPr>
      <w:tabs>
        <w:tab w:val="left" w:pos="4419"/>
        <w:tab w:val="left" w:pos="8280"/>
      </w:tabs>
      <w:jc w:val="left"/>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48904792">
              <wp:simplePos x="0" y="0"/>
              <wp:positionH relativeFrom="column">
                <wp:posOffset>2446020</wp:posOffset>
              </wp:positionH>
              <wp:positionV relativeFrom="paragraph">
                <wp:posOffset>3175</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2A" w:rsidRPr="00924542" w:rsidRDefault="0028212A" w:rsidP="008C78EC">
                          <w:pPr>
                            <w:jc w:val="right"/>
                            <w:rPr>
                              <w:rFonts w:ascii="Gotham Medium" w:hAnsi="Gotham Medium"/>
                            </w:rPr>
                          </w:pPr>
                          <w:r w:rsidRPr="00924542">
                            <w:rPr>
                              <w:rFonts w:ascii="Gotham Medium" w:hAnsi="Gotham Medium"/>
                            </w:rPr>
                            <w:t>DIRECCIÓN DE CAPACITACIÓN Y</w:t>
                          </w:r>
                        </w:p>
                        <w:p w:rsidR="0028212A" w:rsidRPr="00924542" w:rsidRDefault="0028212A" w:rsidP="008C78EC">
                          <w:pPr>
                            <w:jc w:val="right"/>
                            <w:rPr>
                              <w:rFonts w:ascii="Gotham Medium" w:hAnsi="Gotham Medium"/>
                              <w:sz w:val="22"/>
                            </w:rPr>
                          </w:pPr>
                          <w:r w:rsidRPr="00924542">
                            <w:rPr>
                              <w:rFonts w:ascii="Gotham Medium" w:hAnsi="Gotham Medium"/>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margin-left:192.6pt;margin-top:.25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" filled="f" stroked="f">
              <v:textbox>
                <w:txbxContent>
                  <w:p w:rsidR="00097C7F" w:rsidRPr="00924542" w:rsidRDefault="00097C7F" w:rsidP="008C78EC">
                    <w:pPr>
                      <w:jc w:val="right"/>
                      <w:rPr>
                        <w:rFonts w:ascii="Gotham Medium" w:hAnsi="Gotham Medium"/>
                      </w:rPr>
                    </w:pPr>
                    <w:r w:rsidRPr="00924542">
                      <w:rPr>
                        <w:rFonts w:ascii="Gotham Medium" w:hAnsi="Gotham Medium"/>
                      </w:rPr>
                      <w:t>DIRECCIÓN DE CAPACITACIÓN Y</w:t>
                    </w:r>
                  </w:p>
                  <w:p w:rsidR="00097C7F" w:rsidRPr="00924542" w:rsidRDefault="00097C7F" w:rsidP="008C78EC">
                    <w:pPr>
                      <w:jc w:val="right"/>
                      <w:rPr>
                        <w:rFonts w:ascii="Gotham Medium" w:hAnsi="Gotham Medium"/>
                        <w:sz w:val="22"/>
                      </w:rPr>
                    </w:pPr>
                    <w:r w:rsidRPr="00924542">
                      <w:rPr>
                        <w:rFonts w:ascii="Gotham Medium" w:hAnsi="Gotham Medium"/>
                      </w:rPr>
                      <w:t>VINCULACIÓN CIUDADANA</w:t>
                    </w:r>
                  </w:p>
                </w:txbxContent>
              </v:textbox>
            </v:shape>
          </w:pict>
        </mc:Fallback>
      </mc:AlternateContent>
    </w:r>
    <w:r>
      <w:rPr>
        <w:rFonts w:ascii="Frutiger 45 Light" w:hAnsi="Frutiger 45 Light"/>
      </w:rPr>
      <w:tab/>
    </w:r>
    <w:r>
      <w:rPr>
        <w:rFonts w:ascii="Frutiger 45 Light" w:hAnsi="Frutiger 45 Light"/>
      </w:rPr>
      <w:tab/>
    </w:r>
  </w:p>
  <w:p w:rsidR="0028212A" w:rsidRDefault="0028212A" w:rsidP="009C4C96">
    <w:pPr>
      <w:tabs>
        <w:tab w:val="left" w:pos="2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21835"/>
    <w:rsid w:val="0002751A"/>
    <w:rsid w:val="00063910"/>
    <w:rsid w:val="000878EF"/>
    <w:rsid w:val="000919AA"/>
    <w:rsid w:val="00093A8D"/>
    <w:rsid w:val="00097C7F"/>
    <w:rsid w:val="000A43CA"/>
    <w:rsid w:val="000E78E8"/>
    <w:rsid w:val="0015463F"/>
    <w:rsid w:val="001713C9"/>
    <w:rsid w:val="00192F01"/>
    <w:rsid w:val="001A4650"/>
    <w:rsid w:val="001E07AF"/>
    <w:rsid w:val="001F0746"/>
    <w:rsid w:val="0020630F"/>
    <w:rsid w:val="002067B5"/>
    <w:rsid w:val="00216195"/>
    <w:rsid w:val="0026034C"/>
    <w:rsid w:val="00281E51"/>
    <w:rsid w:val="0028212A"/>
    <w:rsid w:val="00294D56"/>
    <w:rsid w:val="002C36B6"/>
    <w:rsid w:val="002D5D17"/>
    <w:rsid w:val="002F1BE9"/>
    <w:rsid w:val="00330CAA"/>
    <w:rsid w:val="003350C7"/>
    <w:rsid w:val="00350A6C"/>
    <w:rsid w:val="0035573B"/>
    <w:rsid w:val="00373CA2"/>
    <w:rsid w:val="003A1AEF"/>
    <w:rsid w:val="003F71C6"/>
    <w:rsid w:val="004072F4"/>
    <w:rsid w:val="00475F19"/>
    <w:rsid w:val="00493973"/>
    <w:rsid w:val="004F4462"/>
    <w:rsid w:val="004F66AB"/>
    <w:rsid w:val="004F6DE5"/>
    <w:rsid w:val="005131FF"/>
    <w:rsid w:val="005327CD"/>
    <w:rsid w:val="00534F1D"/>
    <w:rsid w:val="00535DFF"/>
    <w:rsid w:val="0055017F"/>
    <w:rsid w:val="005639A9"/>
    <w:rsid w:val="0056476E"/>
    <w:rsid w:val="00574F93"/>
    <w:rsid w:val="005B0167"/>
    <w:rsid w:val="005B5EB8"/>
    <w:rsid w:val="005C1693"/>
    <w:rsid w:val="005C4F00"/>
    <w:rsid w:val="005D6239"/>
    <w:rsid w:val="005E32C8"/>
    <w:rsid w:val="005F7D31"/>
    <w:rsid w:val="00612BB9"/>
    <w:rsid w:val="00622D8C"/>
    <w:rsid w:val="006252A9"/>
    <w:rsid w:val="00625B26"/>
    <w:rsid w:val="00635638"/>
    <w:rsid w:val="00652ECB"/>
    <w:rsid w:val="0067719B"/>
    <w:rsid w:val="00677688"/>
    <w:rsid w:val="00691A07"/>
    <w:rsid w:val="00694E80"/>
    <w:rsid w:val="006D5C5E"/>
    <w:rsid w:val="006D6C6B"/>
    <w:rsid w:val="006E3A92"/>
    <w:rsid w:val="007105EF"/>
    <w:rsid w:val="007308AC"/>
    <w:rsid w:val="00736897"/>
    <w:rsid w:val="00796A82"/>
    <w:rsid w:val="00796ACA"/>
    <w:rsid w:val="007A5997"/>
    <w:rsid w:val="007A6329"/>
    <w:rsid w:val="007B4A07"/>
    <w:rsid w:val="007D6958"/>
    <w:rsid w:val="007E2A16"/>
    <w:rsid w:val="00806332"/>
    <w:rsid w:val="00823344"/>
    <w:rsid w:val="0083445C"/>
    <w:rsid w:val="00876DB9"/>
    <w:rsid w:val="008830B1"/>
    <w:rsid w:val="00883652"/>
    <w:rsid w:val="008C78EC"/>
    <w:rsid w:val="008E2CB6"/>
    <w:rsid w:val="00924542"/>
    <w:rsid w:val="00944356"/>
    <w:rsid w:val="00951AB2"/>
    <w:rsid w:val="009B122B"/>
    <w:rsid w:val="009C4C96"/>
    <w:rsid w:val="009E42FC"/>
    <w:rsid w:val="00A169BC"/>
    <w:rsid w:val="00A61138"/>
    <w:rsid w:val="00A61D2F"/>
    <w:rsid w:val="00A62D33"/>
    <w:rsid w:val="00A94856"/>
    <w:rsid w:val="00AA4DCB"/>
    <w:rsid w:val="00AD3A4E"/>
    <w:rsid w:val="00B023A3"/>
    <w:rsid w:val="00B066AB"/>
    <w:rsid w:val="00B20BE5"/>
    <w:rsid w:val="00B24754"/>
    <w:rsid w:val="00B4680B"/>
    <w:rsid w:val="00B53092"/>
    <w:rsid w:val="00B74C39"/>
    <w:rsid w:val="00B81CA6"/>
    <w:rsid w:val="00B92EF4"/>
    <w:rsid w:val="00C11DED"/>
    <w:rsid w:val="00C13784"/>
    <w:rsid w:val="00C13C4E"/>
    <w:rsid w:val="00C31368"/>
    <w:rsid w:val="00C35359"/>
    <w:rsid w:val="00C873AD"/>
    <w:rsid w:val="00C908DB"/>
    <w:rsid w:val="00C93E93"/>
    <w:rsid w:val="00C94067"/>
    <w:rsid w:val="00CB40CB"/>
    <w:rsid w:val="00CB5C69"/>
    <w:rsid w:val="00CC27E8"/>
    <w:rsid w:val="00CC2ABA"/>
    <w:rsid w:val="00CC4717"/>
    <w:rsid w:val="00CD5865"/>
    <w:rsid w:val="00CF54B1"/>
    <w:rsid w:val="00CF5D3F"/>
    <w:rsid w:val="00CF7CA9"/>
    <w:rsid w:val="00D04480"/>
    <w:rsid w:val="00D427BF"/>
    <w:rsid w:val="00D50BCF"/>
    <w:rsid w:val="00D52D16"/>
    <w:rsid w:val="00D56EE7"/>
    <w:rsid w:val="00D6040A"/>
    <w:rsid w:val="00D62FFA"/>
    <w:rsid w:val="00D663F1"/>
    <w:rsid w:val="00D71988"/>
    <w:rsid w:val="00D76F96"/>
    <w:rsid w:val="00D934A9"/>
    <w:rsid w:val="00DB0617"/>
    <w:rsid w:val="00DD4AE4"/>
    <w:rsid w:val="00DF3688"/>
    <w:rsid w:val="00E00E06"/>
    <w:rsid w:val="00E17703"/>
    <w:rsid w:val="00E266C0"/>
    <w:rsid w:val="00E367DE"/>
    <w:rsid w:val="00E418E4"/>
    <w:rsid w:val="00E42ED4"/>
    <w:rsid w:val="00E77896"/>
    <w:rsid w:val="00E829FB"/>
    <w:rsid w:val="00E82D56"/>
    <w:rsid w:val="00ED0599"/>
    <w:rsid w:val="00EE7BC0"/>
    <w:rsid w:val="00EF087B"/>
    <w:rsid w:val="00F124CE"/>
    <w:rsid w:val="00F173A3"/>
    <w:rsid w:val="00F21921"/>
    <w:rsid w:val="00F33A0D"/>
    <w:rsid w:val="00F60E63"/>
    <w:rsid w:val="00F700F6"/>
    <w:rsid w:val="00F70C07"/>
    <w:rsid w:val="00F73E42"/>
    <w:rsid w:val="00F81C04"/>
    <w:rsid w:val="00F91685"/>
    <w:rsid w:val="00FA7CE4"/>
    <w:rsid w:val="00FB6A2F"/>
    <w:rsid w:val="00FB7CB7"/>
    <w:rsid w:val="00FE1C9E"/>
    <w:rsid w:val="00FE2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table" w:styleId="Tabladelista4-nfasis3">
    <w:name w:val="List Table 4 Accent 3"/>
    <w:basedOn w:val="Tablanormal"/>
    <w:uiPriority w:val="49"/>
    <w:rsid w:val="0026034C"/>
    <w:pPr>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7concolores-nfasis3">
    <w:name w:val="Grid Table 7 Colorful Accent 3"/>
    <w:basedOn w:val="Tablanormal"/>
    <w:uiPriority w:val="52"/>
    <w:rsid w:val="00ED0599"/>
    <w:pPr>
      <w:jc w:val="left"/>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
    <w:name w:val="Table Grid"/>
    <w:basedOn w:val="Tablanormal"/>
    <w:uiPriority w:val="59"/>
    <w:rsid w:val="0079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 w:id="1616063109">
      <w:bodyDiv w:val="1"/>
      <w:marLeft w:val="0"/>
      <w:marRight w:val="0"/>
      <w:marTop w:val="0"/>
      <w:marBottom w:val="0"/>
      <w:divBdr>
        <w:top w:val="none" w:sz="0" w:space="0" w:color="auto"/>
        <w:left w:val="none" w:sz="0" w:space="0" w:color="auto"/>
        <w:bottom w:val="none" w:sz="0" w:space="0" w:color="auto"/>
        <w:right w:val="none" w:sz="0" w:space="0" w:color="auto"/>
      </w:divBdr>
    </w:div>
    <w:div w:id="1626540713">
      <w:bodyDiv w:val="1"/>
      <w:marLeft w:val="0"/>
      <w:marRight w:val="0"/>
      <w:marTop w:val="0"/>
      <w:marBottom w:val="0"/>
      <w:divBdr>
        <w:top w:val="none" w:sz="0" w:space="0" w:color="auto"/>
        <w:left w:val="none" w:sz="0" w:space="0" w:color="auto"/>
        <w:bottom w:val="none" w:sz="0" w:space="0" w:color="auto"/>
        <w:right w:val="none" w:sz="0" w:space="0" w:color="auto"/>
      </w:divBdr>
    </w:div>
    <w:div w:id="1666861062">
      <w:bodyDiv w:val="1"/>
      <w:marLeft w:val="0"/>
      <w:marRight w:val="0"/>
      <w:marTop w:val="0"/>
      <w:marBottom w:val="0"/>
      <w:divBdr>
        <w:top w:val="none" w:sz="0" w:space="0" w:color="auto"/>
        <w:left w:val="none" w:sz="0" w:space="0" w:color="auto"/>
        <w:bottom w:val="none" w:sz="0" w:space="0" w:color="auto"/>
        <w:right w:val="none" w:sz="0" w:space="0" w:color="auto"/>
      </w:divBdr>
    </w:div>
    <w:div w:id="1919366444">
      <w:bodyDiv w:val="1"/>
      <w:marLeft w:val="0"/>
      <w:marRight w:val="0"/>
      <w:marTop w:val="0"/>
      <w:marBottom w:val="0"/>
      <w:divBdr>
        <w:top w:val="none" w:sz="0" w:space="0" w:color="auto"/>
        <w:left w:val="none" w:sz="0" w:space="0" w:color="auto"/>
        <w:bottom w:val="none" w:sz="0" w:space="0" w:color="auto"/>
        <w:right w:val="none" w:sz="0" w:space="0" w:color="auto"/>
      </w:divBdr>
    </w:div>
    <w:div w:id="2059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69</Pages>
  <Words>44401</Words>
  <Characters>244209</Characters>
  <Application>Microsoft Office Word</Application>
  <DocSecurity>0</DocSecurity>
  <Lines>2035</Lines>
  <Paragraphs>576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DA_Auxiliar_1</dc:creator>
  <cp:lastModifiedBy>Cuenta Microsoft</cp:lastModifiedBy>
  <cp:revision>3</cp:revision>
  <cp:lastPrinted>2021-07-06T23:49:00Z</cp:lastPrinted>
  <dcterms:created xsi:type="dcterms:W3CDTF">2022-03-04T17:06:00Z</dcterms:created>
  <dcterms:modified xsi:type="dcterms:W3CDTF">2022-03-08T19:20:00Z</dcterms:modified>
</cp:coreProperties>
</file>