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EBD5D7F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0079EB">
        <w:rPr>
          <w:rFonts w:ascii="Source Sans Pro" w:hAnsi="Source Sans Pro"/>
          <w:b/>
          <w:sz w:val="22"/>
          <w:szCs w:val="22"/>
          <w:lang w:val="es-ES"/>
        </w:rPr>
        <w:t>236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583D9A5F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0079EB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4D0B65FC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0079EB">
        <w:rPr>
          <w:rFonts w:ascii="Source Sans Pro" w:hAnsi="Source Sans Pro"/>
          <w:sz w:val="22"/>
          <w:szCs w:val="22"/>
        </w:rPr>
        <w:t>105/026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B7772E0" w14:textId="77777777" w:rsidR="001C3BF4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49C8A2EE" w14:textId="1AFDB63C" w:rsidR="00E935EB" w:rsidRDefault="000079EB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>
        <w:rPr>
          <w:rFonts w:ascii="Source Sans Pro" w:hAnsi="Source Sans Pro" w:cs="Arial"/>
          <w:b/>
          <w:sz w:val="22"/>
          <w:szCs w:val="22"/>
        </w:rPr>
        <w:t>Juchique</w:t>
      </w:r>
      <w:proofErr w:type="spellEnd"/>
      <w:r>
        <w:rPr>
          <w:rFonts w:ascii="Source Sans Pro" w:hAnsi="Source Sans Pro" w:cs="Arial"/>
          <w:b/>
          <w:sz w:val="22"/>
          <w:szCs w:val="22"/>
        </w:rPr>
        <w:t xml:space="preserve"> de Ferrer</w:t>
      </w:r>
    </w:p>
    <w:p w14:paraId="18A758A6" w14:textId="311F5BFA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7581466B" w14:textId="77777777" w:rsidR="001C3BF4" w:rsidRPr="008805C1" w:rsidRDefault="001C3BF4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5B59F4BF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0079EB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043CC1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</w:t>
      </w:r>
      <w:r w:rsidR="000079EB">
        <w:rPr>
          <w:rFonts w:ascii="Source Sans Pro" w:hAnsi="Source Sans Pro" w:cs="Arial"/>
          <w:sz w:val="22"/>
          <w:szCs w:val="22"/>
        </w:rPr>
        <w:t xml:space="preserve"> veintiún</w:t>
      </w:r>
      <w:r w:rsidR="00A95543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26F3DEB5" w14:textId="370B04E8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0079EB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</w:t>
      </w:r>
      <w:r w:rsidRPr="000079EB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74B37ACD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47AFB64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079EB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0079EB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250F2099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41A75B2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079EB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0079EB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0079EB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de </w:t>
      </w:r>
      <w:r w:rsidRPr="000079EB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 contenidos en la Memoria Técnica de Verificación descritas en el numeral </w:t>
      </w:r>
      <w:r w:rsidRPr="000079EB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1622113F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3FC60B9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079EB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 Notifíquese </w:t>
      </w:r>
      <w:r w:rsidRPr="000079EB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0079EB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0079EB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cuarto trimestre de dos mil veintiuno en el sitio de Portal de Internet correspondiente</w:t>
      </w:r>
      <w:r w:rsidRPr="000079EB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741773F1" w14:textId="77777777" w:rsid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CC7FEA4" w14:textId="77777777" w:rsid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F80A28F" w14:textId="77777777" w:rsid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4E91EA4" w14:textId="77777777" w:rsid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EFAD711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2C7E37B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079EB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0079EB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0079EB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0079EB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0079EB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0079EB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77015D02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A59FBB5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079EB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0079EB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91A0A79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71094E1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079EB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122C5C2D" w14:textId="77777777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AD8D50E" w14:textId="5E859AF1" w:rsidR="000079EB" w:rsidRPr="000079EB" w:rsidRDefault="000079EB" w:rsidP="000079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079EB">
        <w:rPr>
          <w:rFonts w:ascii="Source Sans Pro" w:hAnsi="Source Sans Pro" w:cs="Arial"/>
          <w:b/>
          <w:i/>
          <w:sz w:val="18"/>
          <w:szCs w:val="18"/>
        </w:rPr>
        <w:t>SÉPTIMO.</w:t>
      </w:r>
      <w:r w:rsidRPr="000079EB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18636DC" w14:textId="77777777" w:rsidR="000079EB" w:rsidRDefault="000079EB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46CFB" w14:textId="77777777" w:rsidR="00D81063" w:rsidRDefault="00D81063" w:rsidP="00E418E4">
      <w:r>
        <w:separator/>
      </w:r>
    </w:p>
  </w:endnote>
  <w:endnote w:type="continuationSeparator" w:id="0">
    <w:p w14:paraId="39319FA5" w14:textId="77777777" w:rsidR="00D81063" w:rsidRDefault="00D81063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66C9" w14:textId="77777777" w:rsidR="00D81063" w:rsidRDefault="00D81063" w:rsidP="00E418E4">
      <w:r>
        <w:separator/>
      </w:r>
    </w:p>
  </w:footnote>
  <w:footnote w:type="continuationSeparator" w:id="0">
    <w:p w14:paraId="7DD0AE05" w14:textId="77777777" w:rsidR="00D81063" w:rsidRDefault="00D81063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79EB"/>
    <w:rsid w:val="00010E40"/>
    <w:rsid w:val="0001259E"/>
    <w:rsid w:val="00021835"/>
    <w:rsid w:val="00022103"/>
    <w:rsid w:val="00043CC1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1B89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0078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B78BF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E6136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C24C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95543"/>
    <w:rsid w:val="00AA65C1"/>
    <w:rsid w:val="00AB1613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479AD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934A9"/>
    <w:rsid w:val="00DA0967"/>
    <w:rsid w:val="00DA7816"/>
    <w:rsid w:val="00DC20A2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1713F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AC8E-2D2D-4913-A89A-AF8DF205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114</cp:revision>
  <cp:lastPrinted>2022-04-05T23:53:00Z</cp:lastPrinted>
  <dcterms:created xsi:type="dcterms:W3CDTF">2022-01-03T18:08:00Z</dcterms:created>
  <dcterms:modified xsi:type="dcterms:W3CDTF">2022-04-26T19:59:00Z</dcterms:modified>
</cp:coreProperties>
</file>