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9C45A7">
        <w:rPr>
          <w:rFonts w:ascii="Source Sans Pro" w:hAnsi="Source Sans Pro" w:cs="Arial"/>
          <w:b/>
          <w:sz w:val="22"/>
          <w:szCs w:val="22"/>
        </w:rPr>
        <w:t>veintiséis</w:t>
      </w:r>
      <w:r w:rsidR="00BE2E9A">
        <w:rPr>
          <w:rFonts w:ascii="Source Sans Pro" w:hAnsi="Source Sans Pro" w:cs="Arial"/>
          <w:b/>
          <w:sz w:val="22"/>
          <w:szCs w:val="22"/>
        </w:rPr>
        <w:t xml:space="preserve"> </w:t>
      </w:r>
      <w:r w:rsidRPr="000A6A84">
        <w:rPr>
          <w:rFonts w:ascii="Source Sans Pro" w:hAnsi="Source Sans Pro" w:cs="Arial"/>
          <w:b/>
          <w:sz w:val="22"/>
          <w:szCs w:val="22"/>
        </w:rPr>
        <w:t xml:space="preserve">de </w:t>
      </w:r>
      <w:r w:rsidR="0055447A">
        <w:rPr>
          <w:rFonts w:ascii="Source Sans Pro" w:hAnsi="Source Sans Pro" w:cs="Arial"/>
          <w:b/>
          <w:sz w:val="22"/>
          <w:szCs w:val="22"/>
        </w:rPr>
        <w:t>abril</w:t>
      </w:r>
      <w:r w:rsidRPr="000A6A84">
        <w:rPr>
          <w:rFonts w:ascii="Source Sans Pro" w:hAnsi="Source Sans Pro" w:cs="Arial"/>
          <w:b/>
          <w:sz w:val="22"/>
          <w:szCs w:val="22"/>
        </w:rPr>
        <w:t xml:space="preserve"> 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 xml:space="preserve">a una muestra aleatoria de los </w:t>
      </w:r>
      <w:r w:rsidR="00386285">
        <w:rPr>
          <w:rFonts w:ascii="Source Sans Pro" w:hAnsi="Source Sans Pro" w:cs="Arial"/>
          <w:sz w:val="22"/>
          <w:szCs w:val="22"/>
        </w:rPr>
        <w:t>Sujeto</w:t>
      </w:r>
      <w:r w:rsidR="00834DC3">
        <w:rPr>
          <w:rFonts w:ascii="Source Sans Pro" w:hAnsi="Source Sans Pro" w:cs="Arial"/>
          <w:sz w:val="22"/>
          <w:szCs w:val="22"/>
        </w:rPr>
        <w:t xml:space="preserve">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C4127F">
        <w:rPr>
          <w:rFonts w:ascii="Source Sans Pro" w:hAnsi="Source Sans Pro" w:cs="Arial"/>
          <w:b/>
          <w:sz w:val="22"/>
          <w:szCs w:val="22"/>
        </w:rPr>
        <w:t>IVAI/VEOFI-101/019</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C4127F">
        <w:rPr>
          <w:rFonts w:ascii="Source Sans Pro" w:hAnsi="Source Sans Pro" w:cs="Arial"/>
          <w:sz w:val="22"/>
          <w:szCs w:val="22"/>
        </w:rPr>
        <w:t>tres</w:t>
      </w:r>
      <w:r w:rsidR="0055447A">
        <w:rPr>
          <w:rFonts w:ascii="Source Sans Pro" w:hAnsi="Source Sans Pro" w:cs="Arial"/>
          <w:sz w:val="22"/>
          <w:szCs w:val="22"/>
        </w:rPr>
        <w:t xml:space="preserve"> 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386285" w:rsidRDefault="00C4127F" w:rsidP="00C4127F">
      <w:pPr>
        <w:jc w:val="center"/>
        <w:rPr>
          <w:rFonts w:ascii="Source Sans Pro" w:hAnsi="Source Sans Pro" w:cs="Arial"/>
          <w:sz w:val="22"/>
          <w:szCs w:val="22"/>
        </w:rPr>
      </w:pPr>
      <w:r>
        <w:rPr>
          <w:noProof/>
          <w:lang w:eastAsia="es-MX"/>
        </w:rPr>
        <w:drawing>
          <wp:inline distT="0" distB="0" distL="0" distR="0" wp14:anchorId="3546C366" wp14:editId="158D0C8F">
            <wp:extent cx="4146550" cy="2147857"/>
            <wp:effectExtent l="0" t="0" r="635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9982" cy="2159995"/>
                    </a:xfrm>
                    <a:prstGeom prst="rect">
                      <a:avLst/>
                    </a:prstGeom>
                  </pic:spPr>
                </pic:pic>
              </a:graphicData>
            </a:graphic>
          </wp:inline>
        </w:drawing>
      </w:r>
    </w:p>
    <w:p w:rsidR="00386285" w:rsidRDefault="00386285" w:rsidP="000A6A84">
      <w:pPr>
        <w:rPr>
          <w:rFonts w:ascii="Source Sans Pro" w:hAnsi="Source Sans Pro" w:cs="Arial"/>
          <w:sz w:val="22"/>
          <w:szCs w:val="22"/>
        </w:rPr>
      </w:pPr>
    </w:p>
    <w:p w:rsidR="00C4127F" w:rsidRDefault="00C4127F" w:rsidP="00C4127F">
      <w:pPr>
        <w:jc w:val="center"/>
        <w:rPr>
          <w:rFonts w:ascii="Source Sans Pro" w:hAnsi="Source Sans Pro" w:cs="Arial"/>
          <w:sz w:val="22"/>
          <w:szCs w:val="22"/>
        </w:rPr>
      </w:pPr>
      <w:r>
        <w:rPr>
          <w:noProof/>
          <w:lang w:eastAsia="es-MX"/>
        </w:rPr>
        <w:lastRenderedPageBreak/>
        <w:drawing>
          <wp:inline distT="0" distB="0" distL="0" distR="0" wp14:anchorId="7E16758C" wp14:editId="02F7308E">
            <wp:extent cx="4152900" cy="24006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0939" cy="2411029"/>
                    </a:xfrm>
                    <a:prstGeom prst="rect">
                      <a:avLst/>
                    </a:prstGeom>
                  </pic:spPr>
                </pic:pic>
              </a:graphicData>
            </a:graphic>
          </wp:inline>
        </w:drawing>
      </w:r>
    </w:p>
    <w:p w:rsidR="00C4127F" w:rsidRDefault="00C4127F" w:rsidP="000A6A84">
      <w:pPr>
        <w:rPr>
          <w:rFonts w:ascii="Source Sans Pro" w:hAnsi="Source Sans Pro" w:cs="Arial"/>
          <w:sz w:val="22"/>
          <w:szCs w:val="22"/>
        </w:rPr>
      </w:pPr>
    </w:p>
    <w:p w:rsidR="00C4127F" w:rsidRDefault="00C4127F" w:rsidP="00C4127F">
      <w:pPr>
        <w:jc w:val="center"/>
        <w:rPr>
          <w:rFonts w:ascii="Source Sans Pro" w:hAnsi="Source Sans Pro" w:cs="Arial"/>
          <w:sz w:val="22"/>
          <w:szCs w:val="22"/>
        </w:rPr>
      </w:pPr>
      <w:r>
        <w:rPr>
          <w:noProof/>
          <w:lang w:eastAsia="es-MX"/>
        </w:rPr>
        <w:drawing>
          <wp:inline distT="0" distB="0" distL="0" distR="0" wp14:anchorId="7C87BBC7" wp14:editId="1496B8AE">
            <wp:extent cx="4134943" cy="2438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1664" cy="2442363"/>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C4127F">
        <w:rPr>
          <w:rFonts w:ascii="Source Sans Pro" w:hAnsi="Source Sans Pro" w:cs="Arial"/>
          <w:sz w:val="22"/>
          <w:szCs w:val="22"/>
        </w:rPr>
        <w:t>cuatro</w:t>
      </w:r>
      <w:r w:rsidR="0055447A">
        <w:rPr>
          <w:rFonts w:ascii="Source Sans Pro" w:hAnsi="Source Sans Pro" w:cs="Arial"/>
          <w:sz w:val="22"/>
          <w:szCs w:val="22"/>
        </w:rPr>
        <w:t xml:space="preserve"> de marzo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w:t>
      </w:r>
      <w:r w:rsidR="009A2416" w:rsidRPr="00D0107A">
        <w:rPr>
          <w:rFonts w:ascii="Source Sans Pro" w:hAnsi="Source Sans Pro" w:cs="Arial"/>
          <w:sz w:val="22"/>
          <w:szCs w:val="22"/>
        </w:rPr>
        <w:lastRenderedPageBreak/>
        <w:t xml:space="preserve">cumplimiento de las obligaciones de transparencia que deben publicar los </w:t>
      </w:r>
      <w:r w:rsidR="00386285">
        <w:rPr>
          <w:rFonts w:ascii="Source Sans Pro" w:hAnsi="Source Sans Pro" w:cs="Arial"/>
          <w:sz w:val="22"/>
          <w:szCs w:val="22"/>
        </w:rPr>
        <w:t>Sujeto</w:t>
      </w:r>
      <w:r w:rsidR="009A2416" w:rsidRPr="00D0107A">
        <w:rPr>
          <w:rFonts w:ascii="Source Sans Pro" w:hAnsi="Source Sans Pro" w:cs="Arial"/>
          <w:sz w:val="22"/>
          <w:szCs w:val="22"/>
        </w:rPr>
        <w:t xml:space="preserve">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36720D">
        <w:rPr>
          <w:rFonts w:ascii="Source Sans Pro" w:hAnsi="Source Sans Pro" w:cs="Arial"/>
          <w:b/>
          <w:sz w:val="22"/>
          <w:szCs w:val="22"/>
        </w:rPr>
        <w:t xml:space="preserve">cero punto cero </w:t>
      </w:r>
      <w:r w:rsidR="00017603">
        <w:rPr>
          <w:rFonts w:ascii="Source Sans Pro" w:hAnsi="Source Sans Pro" w:cs="Arial"/>
          <w:b/>
          <w:sz w:val="22"/>
          <w:szCs w:val="22"/>
        </w:rPr>
        <w:t xml:space="preserve">por ciento </w:t>
      </w:r>
      <w:r w:rsidR="0036720D">
        <w:rPr>
          <w:rFonts w:ascii="Source Sans Pro" w:hAnsi="Source Sans Pro" w:cs="Arial"/>
          <w:b/>
          <w:sz w:val="22"/>
          <w:szCs w:val="22"/>
        </w:rPr>
        <w:t>0.0</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bookmarkStart w:id="0" w:name="_GoBack"/>
      <w:bookmarkEnd w:id="0"/>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014A4E">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BE2E9A">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BE2E9A">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874D1"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3874D1">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400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263"/>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2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w:t>
            </w:r>
            <w:r w:rsidRPr="0036720D">
              <w:rPr>
                <w:rFonts w:ascii="Source Sans Pro" w:hAnsi="Source Sans Pro" w:cs="Calibri"/>
                <w:color w:val="000000"/>
                <w:sz w:val="16"/>
                <w:szCs w:val="16"/>
              </w:rPr>
              <w:lastRenderedPageBreak/>
              <w:t>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91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Por cada puesto y/o cargo de la estructura se debera especificar la denominación de la norma que establece sus atribuciones, responsabilidades y/o funciones, segun sea el caso y el fundamento legal (articulo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91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3065" w:type="dxa"/>
            <w:gridSpan w:val="3"/>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 la norma en la que se establecen sus facultades y el fundamento legal (articulo y/o fracción)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3065" w:type="dxa"/>
            <w:gridSpan w:val="3"/>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91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3065" w:type="dxa"/>
            <w:gridSpan w:val="3"/>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3065" w:type="dxa"/>
            <w:gridSpan w:val="3"/>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2194" w:type="dxa"/>
            <w:gridSpan w:val="2"/>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61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Nombre del servidor(a) público(a)(nombre[s],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31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48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Conservar en el sitio de Internet y a través de la Plataforma Nacional la información de acuerdo con la Tabla de actualización y </w:t>
            </w:r>
            <w:r w:rsidRPr="0036720D">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43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 Denominación o descripción del puesto (de acuerdo con el catálogo que en su caso regule la </w:t>
            </w:r>
            <w:r w:rsidRPr="0036720D">
              <w:rPr>
                <w:rFonts w:ascii="Source Sans Pro" w:hAnsi="Source Sans Pro" w:cs="Calibri"/>
                <w:color w:val="000000"/>
                <w:sz w:val="16"/>
                <w:szCs w:val="16"/>
              </w:rPr>
              <w:lastRenderedPageBreak/>
              <w:t>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0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71. Descripción de las prestaciones en especie. Éstas podrán ser por ejemplo, todo beneficio que el servidor(a) público(a)</w:t>
            </w:r>
            <w:r>
              <w:rPr>
                <w:rFonts w:ascii="Source Sans Pro" w:hAnsi="Source Sans Pro" w:cs="Calibri"/>
                <w:color w:val="000000"/>
                <w:sz w:val="16"/>
                <w:szCs w:val="16"/>
              </w:rPr>
              <w:t xml:space="preserve"> </w:t>
            </w:r>
            <w:r w:rsidRPr="0036720D">
              <w:rPr>
                <w:rFonts w:ascii="Source Sans Pro" w:hAnsi="Source Sans Pro" w:cs="Calibri"/>
                <w:color w:val="000000"/>
                <w:sz w:val="16"/>
                <w:szCs w:val="16"/>
              </w:rPr>
              <w:t>reciba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78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81 .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43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91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0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65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0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43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3065" w:type="dxa"/>
            <w:gridSpan w:val="3"/>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31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13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43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Nombres completos del(la) responsable de la Unidad de Transparencia y del personal habilitado para cumplir con las funciones establecidas en el artículo 45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263"/>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91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0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XVI. Relaciones laborales y recursos públicos a  sindicatos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400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w:t>
            </w:r>
            <w:r w:rsidRPr="0036720D">
              <w:rPr>
                <w:rFonts w:ascii="Source Sans Pro" w:hAnsi="Source Sans Pro" w:cs="Calibri"/>
                <w:color w:val="000000"/>
                <w:sz w:val="16"/>
                <w:szCs w:val="16"/>
              </w:rPr>
              <w:lastRenderedPageBreak/>
              <w:t xml:space="preserve">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0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263"/>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XIX. Los servicios que ofrecen señalando los requisitos para acceder a ellos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31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65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6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6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 Descripción del trámite. Utilizar un lenguaje claro, sencillo y conciso, así como los casos en que debe o puede realizarse el servicio, y los pasos que debe llevar a cabo el </w:t>
            </w:r>
            <w:r w:rsidRPr="0036720D">
              <w:rPr>
                <w:rFonts w:ascii="Source Sans Pro" w:hAnsi="Source Sans Pro" w:cs="Calibri"/>
                <w:color w:val="000000"/>
                <w:sz w:val="16"/>
                <w:szCs w:val="16"/>
              </w:rPr>
              <w:lastRenderedPageBreak/>
              <w:t>particular para su realización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48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13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6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31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 Hipervínculo al Presupuesto de Egresos </w:t>
            </w:r>
            <w:r w:rsidRPr="0036720D">
              <w:rPr>
                <w:rFonts w:ascii="Source Sans Pro" w:hAnsi="Source Sans Pro" w:cs="Calibri"/>
                <w:color w:val="000000"/>
                <w:sz w:val="16"/>
                <w:szCs w:val="16"/>
              </w:rPr>
              <w:lastRenderedPageBreak/>
              <w:t>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XXII. La información relativa a la deuda pública, en términos de la normatividad aplicable</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17. Hipervínculo al listado de resoluciones negativas a la contratación de financiamiento para las </w:t>
            </w:r>
            <w:r w:rsidRPr="0036720D">
              <w:rPr>
                <w:rFonts w:ascii="Source Sans Pro" w:hAnsi="Source Sans Pro" w:cs="Calibri"/>
                <w:color w:val="000000"/>
                <w:sz w:val="16"/>
                <w:szCs w:val="16"/>
              </w:rPr>
              <w:lastRenderedPageBreak/>
              <w:t>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Hipervínculo al informe de Cuenta Pública[5] enviado a la SHCP[6] u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43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91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13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36720D" w:rsidRPr="0036720D" w:rsidRDefault="0036720D" w:rsidP="0036720D">
            <w:pPr>
              <w:autoSpaceDE w:val="0"/>
              <w:autoSpaceDN w:val="0"/>
              <w:adjustRightInd w:val="0"/>
              <w:rPr>
                <w:rFonts w:ascii="Source Sans Pro" w:hAnsi="Source Sans Pro" w:cs="Calibri"/>
                <w:color w:val="000000"/>
                <w:sz w:val="16"/>
                <w:szCs w:val="16"/>
              </w:rPr>
            </w:pP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3065" w:type="dxa"/>
            <w:gridSpan w:val="3"/>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13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Tipo de acción determinada por el órgano fiscalizador, como pueden ser la emisión de una recomendación, pliego de observaciones, promoción del ejercicio de la facultad de comprobación fiscal, multa, responsabilidad administrativa sancionatoria, fincamiento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El total de solventaciones y/o aclaraciones realizadas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0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2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u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36720D" w:rsidRPr="0036720D" w:rsidRDefault="0036720D" w:rsidP="0036720D">
            <w:pPr>
              <w:autoSpaceDE w:val="0"/>
              <w:autoSpaceDN w:val="0"/>
              <w:adjustRightInd w:val="0"/>
              <w:rPr>
                <w:rFonts w:ascii="Source Sans Pro" w:hAnsi="Source Sans Pro" w:cs="Calibri"/>
                <w:color w:val="000000"/>
                <w:sz w:val="16"/>
                <w:szCs w:val="16"/>
              </w:rPr>
            </w:pP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263"/>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Total de solventaciones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Periodo de actualización de la información: anual; en su caso, 15 días hábiles después de que el Contador Público Independiente entregue una dictaminación especial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XXVI. Personas físicas o morales a quienes se asigne recursos públicos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263"/>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28. Nota. Este criterio se cumple en caso de que sea necesario que el sujeto obligado incluya alguna aclaración relativa a la información publicada </w:t>
            </w:r>
            <w:r w:rsidRPr="0036720D">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XXVII. Concesiones, contratos, convenios, permisos, licencias o autorizaciones otorgados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12. Cláusula, punto, artículo o fracción en el que se especifican los términos </w:t>
            </w:r>
            <w:r w:rsidRPr="0036720D">
              <w:rPr>
                <w:rFonts w:ascii="Source Sans Pro" w:hAnsi="Source Sans Pro" w:cs="Calibri"/>
                <w:color w:val="000000"/>
                <w:sz w:val="16"/>
                <w:szCs w:val="16"/>
              </w:rPr>
              <w:lastRenderedPageBreak/>
              <w:t>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siguiente:</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31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65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64. Hipervínculo al acta de recepción física de los trabajos ejecutados u homóloga,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65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95 . Objeto del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99 .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115. Hipervínculo al acta de recepción física de los trabajos ejecutados u homóloga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2194" w:type="dxa"/>
            <w:gridSpan w:val="2"/>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Periodicidad para elaborar y/o presentar el informe. Por ejemplo: mensual, bimestral, trimestral, tetramestral, semestral, anual, sexenal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3065" w:type="dxa"/>
            <w:gridSpan w:val="3"/>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XXXI. Informe de avances programáticos o presupuestales, balances generales y su estado financiero</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61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Registro Federal de Contribuyentes (RFC) de la persona física o moral con homoclave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6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48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w:t>
            </w:r>
            <w:r w:rsidRPr="0036720D">
              <w:rPr>
                <w:rFonts w:ascii="Source Sans Pro" w:hAnsi="Source Sans Pro" w:cs="Calibri"/>
                <w:color w:val="000000"/>
                <w:sz w:val="16"/>
                <w:szCs w:val="16"/>
              </w:rPr>
              <w:lastRenderedPageBreak/>
              <w:t>[catálogo],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43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0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XXXIV. El inventario de bienes muebles e inmuebles en posesión y propiedad</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13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Hipervínculo al Sistema de Información Inmobiliaria Federal y Paraestatal u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78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91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XXXV. Recomendaciones  y su atención en materia de derechos humanos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438"/>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61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792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47. Órgano emisor de conformidad con el siguiente (catálogo):</w:t>
            </w: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Sistema Universal de Derechos Humanos</w:t>
            </w: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w:t>
            </w:r>
            <w:r w:rsidRPr="0036720D">
              <w:rPr>
                <w:rFonts w:ascii="Source Sans Pro" w:hAnsi="Source Sans Pro" w:cs="Calibri"/>
                <w:color w:val="000000"/>
                <w:sz w:val="16"/>
                <w:szCs w:val="16"/>
              </w:rPr>
              <w:lastRenderedPageBreak/>
              <w:t>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Sistema Interamericano de Derechos Humanos</w:t>
            </w: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Sistema de casos y peticiones: Comisión Interamericana de Derechos Humanos/Corte Interamericana de Derechos Humanos</w:t>
            </w: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Otros mecanismos</w:t>
            </w: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Gays, Bisexuales, Trans e Intersex/Relatoría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Alcances del mecanismo de participación ciudadana .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6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26. Respuesta del sujeto obligado a los resultados de la participación, descripción sintética de lo que se tomó en cuenta y los criterios </w:t>
            </w:r>
            <w:r w:rsidRPr="0036720D">
              <w:rPr>
                <w:rFonts w:ascii="Source Sans Pro" w:hAnsi="Source Sans Pro" w:cs="Calibri"/>
                <w:color w:val="000000"/>
                <w:sz w:val="16"/>
                <w:szCs w:val="16"/>
              </w:rPr>
              <w:lastRenderedPageBreak/>
              <w:t>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3065" w:type="dxa"/>
            <w:gridSpan w:val="3"/>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13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37. Hipervínculo a los formato(s) específico(s)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13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XL. Evaluaciones y encuestas a programas financiados con recursos públicos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78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 ISBN[1] o ISSN[2], en su caso.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9. Hipervínculo al informe de destino de los ingresos recibidos (Informe de avance trimestral u homólogo)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61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61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w:t>
            </w:r>
            <w:r w:rsidRPr="0036720D">
              <w:rPr>
                <w:rFonts w:ascii="Source Sans Pro" w:hAnsi="Source Sans Pro" w:cs="Calibri"/>
                <w:color w:val="000000"/>
                <w:sz w:val="16"/>
                <w:szCs w:val="16"/>
              </w:rPr>
              <w:lastRenderedPageBreak/>
              <w:t xml:space="preserve">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XLV. El catálogo de disposición y guía de archivo documental;</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6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6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91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36720D" w:rsidRDefault="0036720D"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3874D1" w:rsidRDefault="003874D1"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452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6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6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61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61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22. Nota. Este criterio se cumple en caso de que sea necesario que el sujeto obligado incluya alguna aclaración relativa a la información publicada </w:t>
            </w:r>
            <w:r w:rsidRPr="0036720D">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Motivos que lo justifican (ej: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6. La información deberá estar actualizada al período que corresponde, de acuerdo con la Tabla de actualización y </w:t>
            </w:r>
            <w:r w:rsidRPr="0036720D">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4283" w:type="dxa"/>
            <w:gridSpan w:val="4"/>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B. Los objetivos, metas y acciones contenidas en sus programas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C. La Ley de Ingresos y el presupuesto de egresos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74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21. Fecha de actualización de la información publicada con </w:t>
            </w:r>
            <w:r w:rsidRPr="0036720D">
              <w:rPr>
                <w:rFonts w:ascii="Source Sans Pro" w:hAnsi="Source Sans Pro" w:cs="Calibri"/>
                <w:color w:val="000000"/>
                <w:sz w:val="16"/>
                <w:szCs w:val="16"/>
              </w:rPr>
              <w:lastRenderedPageBreak/>
              <w:t>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31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31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31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16. La información publicada se organiza mediante el formato 6, en el que se incluyen todos los campos especificados en </w:t>
            </w:r>
            <w:r w:rsidRPr="0036720D">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J. Las cantidades recibidas por concepto de multas, así como el uso o aplicación que se les dé</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K. El calendario con las actividades culturales, deportivas y recreativas, a realizar; y</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 Inciso L. El calendario con horario, número de unidad y teléfonos de servicio de recolección de basura</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B. Los criterios y un informe anual de evaluación del desempeño policial</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12. Nota. Este criterio se cumple en caso de que sea necesario que el sujeto obligado incluya alguna aclaración relativa a la información publicada </w:t>
            </w:r>
            <w:r w:rsidRPr="0036720D">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3485"/>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567"/>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Hipervínculo al documento que contiene Número, características y frecuencia de quejas sobre incidentes de uso de la fuerza en los órganos internos de la policía, la la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H. El programa de capacitación permanente</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 xml:space="preserve">Criterio 7. Conservar en el sitio de Internet la información vigente y del ejercicio en curso, de acuerdo con la Tabla de actualización y </w:t>
            </w:r>
            <w:r w:rsidRPr="0036720D">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290"/>
        </w:trPr>
        <w:tc>
          <w:tcPr>
            <w:tcW w:w="9094" w:type="dxa"/>
            <w:gridSpan w:val="5"/>
            <w:tcBorders>
              <w:top w:val="nil"/>
              <w:left w:val="nil"/>
              <w:bottom w:val="single" w:sz="6" w:space="0" w:color="auto"/>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r w:rsidRPr="0036720D">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36720D" w:rsidRPr="0036720D" w:rsidTr="0036720D">
        <w:trPr>
          <w:trHeight w:val="290"/>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w:t>
            </w:r>
          </w:p>
        </w:tc>
        <w:tc>
          <w:tcPr>
            <w:tcW w:w="87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Valoración</w:t>
            </w:r>
          </w:p>
        </w:tc>
        <w:tc>
          <w:tcPr>
            <w:tcW w:w="1218"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Tipo</w:t>
            </w:r>
          </w:p>
        </w:tc>
        <w:tc>
          <w:tcPr>
            <w:tcW w:w="4811" w:type="dxa"/>
            <w:tcBorders>
              <w:top w:val="nil"/>
              <w:left w:val="nil"/>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Observaciones, Recomendaciones y/o Requerimientos</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696"/>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044"/>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87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392"/>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1219"/>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6720D" w:rsidRPr="0036720D" w:rsidTr="0036720D">
        <w:trPr>
          <w:trHeight w:val="521"/>
        </w:trPr>
        <w:tc>
          <w:tcPr>
            <w:tcW w:w="194" w:type="dxa"/>
            <w:tcBorders>
              <w:top w:val="nil"/>
              <w:left w:val="single" w:sz="6" w:space="0" w:color="FFFFFF"/>
              <w:bottom w:val="nil"/>
              <w:right w:val="nil"/>
            </w:tcBorders>
          </w:tcPr>
          <w:p w:rsidR="0036720D" w:rsidRPr="0036720D" w:rsidRDefault="0036720D" w:rsidP="0036720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6720D" w:rsidRPr="0036720D" w:rsidRDefault="0036720D" w:rsidP="0036720D">
            <w:pPr>
              <w:autoSpaceDE w:val="0"/>
              <w:autoSpaceDN w:val="0"/>
              <w:adjustRightInd w:val="0"/>
              <w:rPr>
                <w:rFonts w:ascii="Source Sans Pro" w:hAnsi="Source Sans Pro" w:cs="Calibri"/>
                <w:color w:val="000000"/>
                <w:sz w:val="16"/>
                <w:szCs w:val="16"/>
              </w:rPr>
            </w:pPr>
            <w:r w:rsidRPr="0036720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lastRenderedPageBreak/>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3B2AD9" w:rsidRDefault="003B2AD9" w:rsidP="000A6A84">
      <w:pPr>
        <w:rPr>
          <w:rFonts w:ascii="Source Sans Pro" w:hAnsi="Source Sans Pro" w:cs="Arial"/>
          <w:sz w:val="22"/>
          <w:szCs w:val="22"/>
        </w:rPr>
      </w:pPr>
    </w:p>
    <w:p w:rsidR="00143E9D" w:rsidRDefault="00143E9D" w:rsidP="000A6A84">
      <w:pPr>
        <w:rPr>
          <w:rFonts w:ascii="Source Sans Pro" w:hAnsi="Source Sans Pro" w:cs="Arial"/>
          <w:sz w:val="22"/>
          <w:szCs w:val="22"/>
        </w:rPr>
      </w:pPr>
    </w:p>
    <w:p w:rsidR="0036720D" w:rsidRDefault="0036720D" w:rsidP="000A6A84">
      <w:pPr>
        <w:rPr>
          <w:rFonts w:ascii="Source Sans Pro" w:hAnsi="Source Sans Pro" w:cs="Arial"/>
          <w:sz w:val="22"/>
          <w:szCs w:val="22"/>
        </w:rPr>
      </w:pPr>
    </w:p>
    <w:p w:rsidR="0036720D" w:rsidRPr="00D17888" w:rsidRDefault="0036720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r w:rsidRPr="00D17888">
        <w:rPr>
          <w:rFonts w:ascii="Source Sans Pro" w:hAnsi="Source Sans Pro" w:cs="Arial"/>
          <w:b/>
          <w:sz w:val="22"/>
          <w:szCs w:val="22"/>
        </w:rPr>
        <w:t>d</w:t>
      </w:r>
      <w:r w:rsidR="006C0BA9" w:rsidRPr="00D17888">
        <w:rPr>
          <w:rFonts w:ascii="Source Sans Pro" w:hAnsi="Source Sans Pro" w:cs="Arial"/>
          <w:b/>
          <w:sz w:val="22"/>
          <w:szCs w:val="22"/>
        </w:rPr>
        <w:t>e</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E16" w:rsidRDefault="00C95E16" w:rsidP="006B5F99">
      <w:r>
        <w:separator/>
      </w:r>
    </w:p>
  </w:endnote>
  <w:endnote w:type="continuationSeparator" w:id="0">
    <w:p w:rsidR="00C95E16" w:rsidRDefault="00C95E16"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C4127F" w:rsidRPr="00697C84" w:rsidRDefault="00C4127F">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9C45A7" w:rsidRPr="009C45A7">
          <w:rPr>
            <w:rFonts w:ascii="Source Sans Pro" w:hAnsi="Source Sans Pro"/>
            <w:noProof/>
            <w:sz w:val="20"/>
            <w:szCs w:val="20"/>
            <w:lang w:val="es-ES"/>
          </w:rPr>
          <w:t>3</w:t>
        </w:r>
        <w:r w:rsidRPr="00697C84">
          <w:rPr>
            <w:rFonts w:ascii="Source Sans Pro" w:hAnsi="Source Sans Pro"/>
            <w:sz w:val="20"/>
            <w:szCs w:val="20"/>
          </w:rPr>
          <w:fldChar w:fldCharType="end"/>
        </w:r>
      </w:p>
    </w:sdtContent>
  </w:sdt>
  <w:p w:rsidR="00C4127F" w:rsidRDefault="00C412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E16" w:rsidRDefault="00C95E16" w:rsidP="006B5F99">
      <w:r>
        <w:separator/>
      </w:r>
    </w:p>
  </w:footnote>
  <w:footnote w:type="continuationSeparator" w:id="0">
    <w:p w:rsidR="00C95E16" w:rsidRDefault="00C95E16"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C4127F" w:rsidRPr="00FF0BED" w:rsidTr="00017603">
      <w:tc>
        <w:tcPr>
          <w:tcW w:w="1896" w:type="dxa"/>
        </w:tcPr>
        <w:p w:rsidR="00C4127F" w:rsidRPr="00FF0BED" w:rsidRDefault="00C4127F"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C4127F" w:rsidRPr="00FF0BED" w:rsidRDefault="00C4127F" w:rsidP="006B5F99">
          <w:pPr>
            <w:pStyle w:val="Encabezado"/>
            <w:jc w:val="center"/>
            <w:rPr>
              <w:rFonts w:ascii="Source Sans Pro" w:hAnsi="Source Sans Pro"/>
              <w:b/>
              <w:sz w:val="22"/>
              <w:szCs w:val="22"/>
            </w:rPr>
          </w:pPr>
        </w:p>
      </w:tc>
      <w:tc>
        <w:tcPr>
          <w:tcW w:w="5678" w:type="dxa"/>
        </w:tcPr>
        <w:p w:rsidR="00C4127F" w:rsidRPr="00FF0BED" w:rsidRDefault="00C4127F"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C4127F" w:rsidRDefault="00C4127F" w:rsidP="00DD5EEB">
          <w:pPr>
            <w:pStyle w:val="Encabezado"/>
            <w:rPr>
              <w:rFonts w:ascii="Source Sans Pro" w:hAnsi="Source Sans Pro"/>
              <w:b/>
              <w:sz w:val="22"/>
              <w:szCs w:val="22"/>
            </w:rPr>
          </w:pPr>
        </w:p>
        <w:p w:rsidR="00C4127F" w:rsidRDefault="00C4127F" w:rsidP="00DD5EEB">
          <w:pPr>
            <w:pStyle w:val="Encabezado"/>
            <w:rPr>
              <w:rFonts w:ascii="Source Sans Pro" w:hAnsi="Source Sans Pro"/>
              <w:b/>
              <w:sz w:val="22"/>
              <w:szCs w:val="22"/>
            </w:rPr>
          </w:pPr>
          <w:r>
            <w:rPr>
              <w:rFonts w:ascii="Source Sans Pro" w:hAnsi="Source Sans Pro"/>
              <w:b/>
              <w:sz w:val="22"/>
              <w:szCs w:val="22"/>
            </w:rPr>
            <w:t>SUJETO OBLIGADO: AYUNTAMIENTO DE JESÚS CARRANZA</w:t>
          </w:r>
        </w:p>
        <w:p w:rsidR="00C4127F" w:rsidRDefault="00C4127F" w:rsidP="00DD5EEB">
          <w:pPr>
            <w:pStyle w:val="Encabezado"/>
            <w:rPr>
              <w:rFonts w:ascii="Source Sans Pro" w:hAnsi="Source Sans Pro"/>
              <w:b/>
              <w:sz w:val="22"/>
              <w:szCs w:val="22"/>
            </w:rPr>
          </w:pPr>
        </w:p>
        <w:p w:rsidR="00C4127F" w:rsidRDefault="00C4127F"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C4127F" w:rsidRPr="00FF0BED" w:rsidRDefault="00C4127F" w:rsidP="00DD5EEB">
          <w:pPr>
            <w:pStyle w:val="Encabezado"/>
            <w:rPr>
              <w:rFonts w:ascii="Source Sans Pro" w:hAnsi="Source Sans Pro"/>
              <w:b/>
              <w:sz w:val="22"/>
              <w:szCs w:val="22"/>
            </w:rPr>
          </w:pPr>
        </w:p>
        <w:p w:rsidR="00C4127F" w:rsidRPr="00FF0BED" w:rsidRDefault="00C4127F" w:rsidP="00DD5EEB">
          <w:pPr>
            <w:pStyle w:val="Encabezado"/>
            <w:rPr>
              <w:rFonts w:ascii="Source Sans Pro" w:hAnsi="Source Sans Pro"/>
              <w:b/>
              <w:sz w:val="22"/>
              <w:szCs w:val="22"/>
            </w:rPr>
          </w:pPr>
          <w:r>
            <w:rPr>
              <w:rFonts w:ascii="Source Sans Pro" w:hAnsi="Source Sans Pro"/>
              <w:b/>
              <w:sz w:val="22"/>
              <w:szCs w:val="22"/>
            </w:rPr>
            <w:t>DICTAMEN DE INCUMPLIMIENTO</w:t>
          </w:r>
        </w:p>
        <w:p w:rsidR="00C4127F" w:rsidRPr="00FF0BED" w:rsidRDefault="00C4127F" w:rsidP="00850296">
          <w:pPr>
            <w:pStyle w:val="Encabezado"/>
            <w:jc w:val="center"/>
            <w:rPr>
              <w:rFonts w:ascii="Source Sans Pro" w:hAnsi="Source Sans Pro"/>
              <w:b/>
              <w:sz w:val="22"/>
              <w:szCs w:val="22"/>
            </w:rPr>
          </w:pPr>
        </w:p>
        <w:p w:rsidR="00C4127F" w:rsidRPr="00FF0BED" w:rsidRDefault="00C4127F" w:rsidP="0089396A">
          <w:pPr>
            <w:pStyle w:val="Encabezado"/>
            <w:rPr>
              <w:rFonts w:ascii="Source Sans Pro" w:hAnsi="Source Sans Pro"/>
              <w:b/>
              <w:sz w:val="22"/>
              <w:szCs w:val="22"/>
            </w:rPr>
          </w:pPr>
          <w:r>
            <w:rPr>
              <w:rFonts w:ascii="Source Sans Pro" w:hAnsi="Source Sans Pro"/>
              <w:b/>
              <w:sz w:val="22"/>
              <w:szCs w:val="22"/>
            </w:rPr>
            <w:t>EXPEDIENTE: IVAI/VEOFI-101/019/2022</w:t>
          </w:r>
        </w:p>
      </w:tc>
    </w:tr>
  </w:tbl>
  <w:p w:rsidR="00C4127F" w:rsidRPr="00FF0BED" w:rsidRDefault="00C4127F"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03EE"/>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E3238"/>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6720D"/>
    <w:rsid w:val="003827C0"/>
    <w:rsid w:val="0038407E"/>
    <w:rsid w:val="00384ACD"/>
    <w:rsid w:val="00386285"/>
    <w:rsid w:val="003874D1"/>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D3465"/>
    <w:rsid w:val="004E4FDC"/>
    <w:rsid w:val="004E7CA5"/>
    <w:rsid w:val="004F556F"/>
    <w:rsid w:val="00501E5B"/>
    <w:rsid w:val="0051076B"/>
    <w:rsid w:val="0051547C"/>
    <w:rsid w:val="00527290"/>
    <w:rsid w:val="00535D4D"/>
    <w:rsid w:val="005445B4"/>
    <w:rsid w:val="005476D3"/>
    <w:rsid w:val="00547AD2"/>
    <w:rsid w:val="0055447A"/>
    <w:rsid w:val="005664EA"/>
    <w:rsid w:val="0057185B"/>
    <w:rsid w:val="00573C38"/>
    <w:rsid w:val="0058094F"/>
    <w:rsid w:val="00581F42"/>
    <w:rsid w:val="00583692"/>
    <w:rsid w:val="00586BB4"/>
    <w:rsid w:val="00591B6C"/>
    <w:rsid w:val="005A2421"/>
    <w:rsid w:val="005A7151"/>
    <w:rsid w:val="005A7A95"/>
    <w:rsid w:val="005B2780"/>
    <w:rsid w:val="005C4ED2"/>
    <w:rsid w:val="005D4D87"/>
    <w:rsid w:val="005D594F"/>
    <w:rsid w:val="005E0E97"/>
    <w:rsid w:val="005E2A64"/>
    <w:rsid w:val="005F4F4A"/>
    <w:rsid w:val="00621A36"/>
    <w:rsid w:val="00624254"/>
    <w:rsid w:val="00635E47"/>
    <w:rsid w:val="00654A8D"/>
    <w:rsid w:val="006759E6"/>
    <w:rsid w:val="006920E1"/>
    <w:rsid w:val="0069699C"/>
    <w:rsid w:val="00697C84"/>
    <w:rsid w:val="006A7D31"/>
    <w:rsid w:val="006B5F99"/>
    <w:rsid w:val="006C0BA9"/>
    <w:rsid w:val="006E5D22"/>
    <w:rsid w:val="006F18DE"/>
    <w:rsid w:val="006F1DC7"/>
    <w:rsid w:val="006F30A4"/>
    <w:rsid w:val="00700F04"/>
    <w:rsid w:val="00706D73"/>
    <w:rsid w:val="007135C9"/>
    <w:rsid w:val="00717C4D"/>
    <w:rsid w:val="00725124"/>
    <w:rsid w:val="00726B27"/>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9396A"/>
    <w:rsid w:val="00895DE2"/>
    <w:rsid w:val="008B0C3F"/>
    <w:rsid w:val="008B19FE"/>
    <w:rsid w:val="008B5504"/>
    <w:rsid w:val="008C1EBF"/>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2416"/>
    <w:rsid w:val="009A482E"/>
    <w:rsid w:val="009B4C6D"/>
    <w:rsid w:val="009C45A7"/>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27629"/>
    <w:rsid w:val="00A3337E"/>
    <w:rsid w:val="00A42051"/>
    <w:rsid w:val="00A45709"/>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91C"/>
    <w:rsid w:val="00B65CA2"/>
    <w:rsid w:val="00B70F7B"/>
    <w:rsid w:val="00B853E8"/>
    <w:rsid w:val="00B95487"/>
    <w:rsid w:val="00B97758"/>
    <w:rsid w:val="00BA4411"/>
    <w:rsid w:val="00BA4FB3"/>
    <w:rsid w:val="00BA7959"/>
    <w:rsid w:val="00BB4A9D"/>
    <w:rsid w:val="00BE04D1"/>
    <w:rsid w:val="00BE2509"/>
    <w:rsid w:val="00BE2E9A"/>
    <w:rsid w:val="00BF0B0E"/>
    <w:rsid w:val="00BF4FDF"/>
    <w:rsid w:val="00BF5298"/>
    <w:rsid w:val="00BF57B2"/>
    <w:rsid w:val="00BF5B5E"/>
    <w:rsid w:val="00BF7402"/>
    <w:rsid w:val="00C01B28"/>
    <w:rsid w:val="00C01D47"/>
    <w:rsid w:val="00C1096B"/>
    <w:rsid w:val="00C1384E"/>
    <w:rsid w:val="00C4127F"/>
    <w:rsid w:val="00C420BA"/>
    <w:rsid w:val="00C448BF"/>
    <w:rsid w:val="00C50907"/>
    <w:rsid w:val="00C54232"/>
    <w:rsid w:val="00C64B42"/>
    <w:rsid w:val="00C72D53"/>
    <w:rsid w:val="00C757A3"/>
    <w:rsid w:val="00C85AC2"/>
    <w:rsid w:val="00C86DD8"/>
    <w:rsid w:val="00C95E16"/>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B054A"/>
    <w:rsid w:val="00DC2242"/>
    <w:rsid w:val="00DC6457"/>
    <w:rsid w:val="00DD2F52"/>
    <w:rsid w:val="00DD4A18"/>
    <w:rsid w:val="00DD5EEB"/>
    <w:rsid w:val="00DF1D3D"/>
    <w:rsid w:val="00DF488B"/>
    <w:rsid w:val="00E03CB2"/>
    <w:rsid w:val="00E3016C"/>
    <w:rsid w:val="00E324E3"/>
    <w:rsid w:val="00E4197C"/>
    <w:rsid w:val="00E5256B"/>
    <w:rsid w:val="00E544CF"/>
    <w:rsid w:val="00E60D90"/>
    <w:rsid w:val="00E62A1D"/>
    <w:rsid w:val="00E638F9"/>
    <w:rsid w:val="00E65E42"/>
    <w:rsid w:val="00E80193"/>
    <w:rsid w:val="00E813A0"/>
    <w:rsid w:val="00E90D28"/>
    <w:rsid w:val="00E95269"/>
    <w:rsid w:val="00EA58A0"/>
    <w:rsid w:val="00EA7FCE"/>
    <w:rsid w:val="00EB07D8"/>
    <w:rsid w:val="00EC523E"/>
    <w:rsid w:val="00ED1753"/>
    <w:rsid w:val="00EE457D"/>
    <w:rsid w:val="00EE5EB0"/>
    <w:rsid w:val="00EF3E8F"/>
    <w:rsid w:val="00EF4E71"/>
    <w:rsid w:val="00EF7137"/>
    <w:rsid w:val="00F0292F"/>
    <w:rsid w:val="00F12154"/>
    <w:rsid w:val="00F16614"/>
    <w:rsid w:val="00F33CC0"/>
    <w:rsid w:val="00F36DA6"/>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D810E-1030-42D0-A97D-7CEFED1C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2406</TotalTime>
  <Pages>171</Pages>
  <Words>105496</Words>
  <Characters>580231</Characters>
  <Application>Microsoft Office Word</Application>
  <DocSecurity>0</DocSecurity>
  <Lines>4835</Lines>
  <Paragraphs>1368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65</cp:revision>
  <cp:lastPrinted>2022-04-26T17:09:00Z</cp:lastPrinted>
  <dcterms:created xsi:type="dcterms:W3CDTF">2021-10-21T15:13:00Z</dcterms:created>
  <dcterms:modified xsi:type="dcterms:W3CDTF">2022-04-26T17:14:00Z</dcterms:modified>
</cp:coreProperties>
</file>