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4913A9">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Vía Veracruzana</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96819">
        <w:rPr>
          <w:rFonts w:ascii="Source Sans Pro" w:hAnsi="Source Sans Pro" w:cs="Arial"/>
          <w:b/>
          <w:sz w:val="22"/>
          <w:szCs w:val="22"/>
        </w:rPr>
        <w:t>IVAI/VEOFI-009/031</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B96819">
        <w:rPr>
          <w:rFonts w:ascii="Source Sans Pro" w:hAnsi="Source Sans Pro" w:cs="Arial"/>
          <w:sz w:val="22"/>
          <w:szCs w:val="22"/>
        </w:rPr>
        <w:t>uno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7F2841" w:rsidP="00B96819">
      <w:pPr>
        <w:jc w:val="center"/>
        <w:rPr>
          <w:rFonts w:ascii="Source Sans Pro" w:hAnsi="Source Sans Pro" w:cs="Arial"/>
          <w:sz w:val="22"/>
          <w:szCs w:val="22"/>
        </w:rPr>
      </w:pPr>
      <w:r>
        <w:rPr>
          <w:noProof/>
          <w:lang w:eastAsia="es-MX"/>
        </w:rPr>
        <w:drawing>
          <wp:inline distT="0" distB="0" distL="0" distR="0" wp14:anchorId="7BCE9D8C" wp14:editId="4113F0D8">
            <wp:extent cx="4167843" cy="20066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4157" cy="2019269"/>
                    </a:xfrm>
                    <a:prstGeom prst="rect">
                      <a:avLst/>
                    </a:prstGeom>
                  </pic:spPr>
                </pic:pic>
              </a:graphicData>
            </a:graphic>
          </wp:inline>
        </w:drawing>
      </w:r>
    </w:p>
    <w:p w:rsidR="007F2841" w:rsidRDefault="007F2841" w:rsidP="000A6A84">
      <w:pPr>
        <w:rPr>
          <w:rFonts w:ascii="Source Sans Pro" w:hAnsi="Source Sans Pro" w:cs="Arial"/>
          <w:sz w:val="22"/>
          <w:szCs w:val="22"/>
        </w:rPr>
      </w:pPr>
    </w:p>
    <w:p w:rsidR="00E544CF" w:rsidRDefault="005F0FB9" w:rsidP="00AA65A8">
      <w:pPr>
        <w:ind w:left="708" w:hanging="708"/>
        <w:rPr>
          <w:rFonts w:ascii="Source Sans Pro" w:hAnsi="Source Sans Pro" w:cs="Arial"/>
          <w:sz w:val="22"/>
          <w:szCs w:val="22"/>
        </w:rPr>
      </w:pPr>
      <w:r>
        <w:rPr>
          <w:noProof/>
          <w:lang w:eastAsia="es-MX"/>
        </w:rPr>
        <w:drawing>
          <wp:inline distT="0" distB="0" distL="0" distR="0" wp14:anchorId="53E3DBBB" wp14:editId="717243A4">
            <wp:extent cx="4346734" cy="243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4582" cy="2442803"/>
                    </a:xfrm>
                    <a:prstGeom prst="rect">
                      <a:avLst/>
                    </a:prstGeom>
                  </pic:spPr>
                </pic:pic>
              </a:graphicData>
            </a:graphic>
          </wp:inline>
        </w:drawing>
      </w:r>
    </w:p>
    <w:p w:rsidR="005F0FB9" w:rsidRDefault="005F0FB9" w:rsidP="00AA65A8">
      <w:pPr>
        <w:ind w:left="708" w:hanging="708"/>
        <w:rPr>
          <w:rFonts w:ascii="Source Sans Pro" w:hAnsi="Source Sans Pro" w:cs="Arial"/>
          <w:sz w:val="22"/>
          <w:szCs w:val="22"/>
        </w:rPr>
      </w:pPr>
    </w:p>
    <w:p w:rsidR="005F0FB9" w:rsidRDefault="005F0FB9" w:rsidP="00AA65A8">
      <w:pPr>
        <w:ind w:left="708" w:hanging="708"/>
        <w:rPr>
          <w:rFonts w:ascii="Source Sans Pro" w:hAnsi="Source Sans Pro" w:cs="Arial"/>
          <w:sz w:val="22"/>
          <w:szCs w:val="22"/>
        </w:rPr>
      </w:pPr>
      <w:r>
        <w:rPr>
          <w:noProof/>
          <w:lang w:eastAsia="es-MX"/>
        </w:rPr>
        <w:drawing>
          <wp:inline distT="0" distB="0" distL="0" distR="0" wp14:anchorId="3E730395" wp14:editId="407427EE">
            <wp:extent cx="4384390"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249" cy="2423686"/>
                    </a:xfrm>
                    <a:prstGeom prst="rect">
                      <a:avLst/>
                    </a:prstGeom>
                  </pic:spPr>
                </pic:pic>
              </a:graphicData>
            </a:graphic>
          </wp:inline>
        </w:drawing>
      </w:r>
    </w:p>
    <w:p w:rsidR="005F0FB9" w:rsidRDefault="005F0FB9"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B96819">
        <w:rPr>
          <w:rFonts w:ascii="Source Sans Pro" w:hAnsi="Source Sans Pro" w:cs="Arial"/>
          <w:sz w:val="22"/>
          <w:szCs w:val="22"/>
        </w:rPr>
        <w:t>uno de abril</w:t>
      </w:r>
      <w:r w:rsidR="00B96819" w:rsidRPr="000A6A84">
        <w:rPr>
          <w:rFonts w:ascii="Source Sans Pro" w:hAnsi="Source Sans Pro" w:cs="Arial"/>
          <w:sz w:val="22"/>
          <w:szCs w:val="22"/>
        </w:rPr>
        <w:t xml:space="preserve"> d</w:t>
      </w:r>
      <w:r w:rsidR="00B96819">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A654F">
        <w:rPr>
          <w:rFonts w:ascii="Source Sans Pro" w:hAnsi="Source Sans Pro" w:cs="Arial"/>
          <w:b/>
          <w:sz w:val="22"/>
          <w:szCs w:val="22"/>
        </w:rPr>
        <w:t>cero por ciento 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400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263"/>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833"/>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Por cada puesto y/o cargo de la estructura se debera especificar la denominación de la norma que establece sus atribuciones, responsabilidades y/o funciones, segun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65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27. Hipervínculo a la normatividad que regula los gastos por concepto de viáticos y gastos de </w:t>
            </w:r>
            <w:r w:rsidRPr="005A654F">
              <w:rPr>
                <w:rFonts w:ascii="Source Sans Pro" w:hAnsi="Source Sans Pro" w:cs="Calibri"/>
                <w:color w:val="000000"/>
                <w:sz w:val="16"/>
                <w:szCs w:val="16"/>
              </w:rPr>
              <w:lastRenderedPageBreak/>
              <w:t>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31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Nombres completos del(la) responsable de la Unidad de Transparencia y del personal habilitado para cumplir con las funciones establecidas en el artículo 45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La información publicada deberá estar actualizada al periodo que corresponde de acuerdo con la Tabla de actualización y </w:t>
            </w:r>
            <w:r w:rsidRPr="005A654F">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XVI. Relaciones laborales y recursos públicos a  sindicatos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400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263"/>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XIX. Los servicios que ofrecen señalando los requisitos para acceder a ellos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31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65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44. La información publicada se organiza mediante el formato 19, en el que se incluyen todos los campos especificados en </w:t>
            </w:r>
            <w:r w:rsidRPr="005A654F">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48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31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2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A654F" w:rsidRPr="005A654F" w:rsidRDefault="005A654F" w:rsidP="005A654F">
            <w:pPr>
              <w:autoSpaceDE w:val="0"/>
              <w:autoSpaceDN w:val="0"/>
              <w:adjustRightInd w:val="0"/>
              <w:rPr>
                <w:rFonts w:ascii="Source Sans Pro" w:hAnsi="Source Sans Pro" w:cs="Calibri"/>
                <w:color w:val="000000"/>
                <w:sz w:val="16"/>
                <w:szCs w:val="16"/>
              </w:rPr>
            </w:pP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XXVII. Concesiones, contratos, convenios, permisos, licencias o autorizaciones otorgados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2194" w:type="dxa"/>
            <w:gridSpan w:val="2"/>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XXXI. Informe de avances programáticos o presupuestales, balances generales y su estado financiero</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61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48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w:t>
            </w:r>
            <w:r w:rsidRPr="005A654F">
              <w:rPr>
                <w:rFonts w:ascii="Source Sans Pro" w:hAnsi="Source Sans Pro" w:cs="Calibri"/>
                <w:color w:val="000000"/>
                <w:sz w:val="16"/>
                <w:szCs w:val="16"/>
              </w:rPr>
              <w:lastRenderedPageBreak/>
              <w:t>[catálogo],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XXXV. Recomendaciones  y su atención en materia de derechos humanos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61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792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47. Órgano emisor de conformidad con el siguiente (catálogo):</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Sistema Universal de Derechos Humanos</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w:t>
            </w:r>
            <w:r w:rsidRPr="005A654F">
              <w:rPr>
                <w:rFonts w:ascii="Source Sans Pro" w:hAnsi="Source Sans Pro" w:cs="Calibri"/>
                <w:color w:val="000000"/>
                <w:sz w:val="16"/>
                <w:szCs w:val="16"/>
              </w:rPr>
              <w:lastRenderedPageBreak/>
              <w:t>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Sistema Interamericano de Derechos Humanos</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Sistema de casos y peticiones: Comisión Interamericana de Derechos Humanos/Corte Interamericana de Derechos Humanos</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Otros mecanismos</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w:t>
            </w:r>
            <w:r w:rsidRPr="005A654F">
              <w:rPr>
                <w:rFonts w:ascii="Source Sans Pro" w:hAnsi="Source Sans Pro" w:cs="Calibri"/>
                <w:color w:val="000000"/>
                <w:sz w:val="16"/>
                <w:szCs w:val="16"/>
              </w:rPr>
              <w:lastRenderedPageBreak/>
              <w:t>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54. Conservar en el sitio de Internet y a través de la Plataforma Nacional la información de acuerdo con la Tabla de actualización y </w:t>
            </w:r>
            <w:r w:rsidRPr="005A654F">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Alcances del mecanismo de participación ciudadana .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37. Hipervínculo a los formato(s) específico(s)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XLV. El catálogo de disposición y guía de archivo documental;</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Archivístico, Informe Anual de cumplimiento, Dictamen </w:t>
            </w:r>
            <w:r w:rsidRPr="005A654F">
              <w:rPr>
                <w:rFonts w:ascii="Source Sans Pro" w:hAnsi="Source Sans Pro" w:cs="Calibri"/>
                <w:color w:val="000000"/>
                <w:sz w:val="16"/>
                <w:szCs w:val="16"/>
              </w:rPr>
              <w:lastRenderedPageBreak/>
              <w:t>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I. Padrón de afiliados o militantes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 Periodo que se informa (fecha de inicio y </w:t>
            </w:r>
            <w:r w:rsidRPr="005A654F">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Entidad federativa de residencia (catálogo)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Municipio o demarcación territorial de residencia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Fecha de afiliación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II. Acuerdos y resoluciones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documento (catálogo): Acuerdo/Resolución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aprobación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Descripción breve del acuerdo o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documento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III. Convenios de participación con sociedad civil</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 la organización de la sociedad civil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Descripción breve del convenio de participación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convenio de participación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Alcances o resultados del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IV. Contratación y convenios de bienes y servicios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contrato o convenio de bienes o servicios (catálogo):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Tema del contrato o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Descripción breve del contrato o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Alcances o producto del contrato o convenio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V. Minutas de sesiones del partido</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Hipervínculo a la minuta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lastRenderedPageBreak/>
              <w:t>Art. 76 - Fracción VI. Responsables de finanzas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Área de estudio,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VII. Organizaciones sociales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completo de la organización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Figura jurídica: Persona moral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Presupuesto o recursos asignados (en caso de existir)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Fecha de adhesión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VIII. Cuotas ordinarias y extraordinarias de militantes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cuota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Monto individual de aportación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IX. Financiamiento privado</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Número de recibo que se haya emitido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 Aportantes a campañas y precampañas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Periodo de la campaña o precampaña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Tipo de aportación (catálogo): Monetaria/En especie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XI. Acta de asamblea constitutiva</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Fecha del acta de constitución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al documento completo del acta constitutiva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publicada se organiza mediante el formato 11,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XII. Demarcaciones electorales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43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participación (catálogo): Comité partidista estatal/Comité partidista municipal o delegacional/Comité partidista distrital/Gobernador o jefe de gobierno/Senador/Diputado federal/Diputado local/Presidente municipal/Síndico/Regidor/otro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XIII. Tiempos en radio y tv</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Entidad federativa (catálogo)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tiempo (catálogo): Precampaña/Intercampaña/Campaña/No electoral/ Periodo de veda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Cobertura (catálogo): Local/Federal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Número de spots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Emisoras de radio. Por ejemplo: radio AM, radio FM, combos/migrac/redes, total de radio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Hora de transmisión con el formato hora/minutos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XIV. Documentos básicos, plataformas, programas de gobierno y mecanismos de designación</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documento (catálogo): Estatuto/Reglamento interno/Principios/Programa de acción/Plataforma electoral/Programa de gobierno/Mecanismo de designación de órganos de dirección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 los documentos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Ámbito de influencia o de aplicabilidad (catálogo): Federal/Estatal/Municipal/Demarcación territorial/Nacional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Fecha de vigencia del documento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 los documentos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14,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XV. Directorios de órganos de dirección</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Domiciliooficial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Ubicación dentro del domicilio (edificio, piso).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Correo electrónico de contacto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XVI. Tabulador de remuneraciones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XVII. Currículo de precandidatos y candidatos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competencia (catálogo): Precandidato/Candidato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Año en que ocurre el proceso electoral en el que compite el precandidato o candidato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Fotografía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Carrera genérica,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Cargo o puesto desempeñado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Campo de experiencia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Hipervínculo a la versión pública del currículo, el cual deberá contener al menos los siguientes datos: trayectoria académica y profesional, así como todas aquellas actividades que acrediten su capacidad, habilidades o pericia para </w:t>
            </w:r>
            <w:r w:rsidRPr="005A654F">
              <w:rPr>
                <w:rFonts w:ascii="Source Sans Pro" w:hAnsi="Source Sans Pro" w:cs="Calibri"/>
                <w:color w:val="000000"/>
                <w:sz w:val="16"/>
                <w:szCs w:val="16"/>
              </w:rPr>
              <w:lastRenderedPageBreak/>
              <w:t>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XVIII. Currículo de dirigentes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Denominación del cargo en la estructura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Fotografía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Carrera genérica,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Cargo o puesto desempeñado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Campo de experiencia.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91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 Convocatorias para elección de dirigentes y candidatos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0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Entidad federativa,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Fecha de la 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Horarios de la elección con el formato hora: minutos hrs.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Requisitos para postularse como candidato en la elección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Hipervínculo al documento de la convocatoria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XXI. Responsables de procesos de evaluación y selección de candidatos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Denominación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6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Correo(s) electrónico(s)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XXII. Financiamiento público para liderazgo político de las mujeres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Monto anual asignado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Uso mensual dado a los recursos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Tipo de actividad. Por ejemplo: capacitación, foro, estudios, becas, publicación de libros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Descripción de las actividades realizadas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Monto de los recursos gastados por actividad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Impacto generado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Ámbito de influencia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Fecha de realización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Hipervínculo al acuerdo del Instituto Nacional Electoral por el que se establece el monto del financiamiento público asignado al partido político de que se trate para la capacitación, promoción y desarrollo del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XXIII. Resoluciones de órganos de control</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658"/>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Breve descripción del asunto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Sentido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XXIV. Respecto de las Sanciones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Mes en el que se asignaron los recursos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Monto mensual asignado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Financiamiento público asignado a franquicias postales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Financiamiento público asignado a franquicias telegráficas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Financiamiento público asignado a gastos de campaña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Monto de la sanción impuesta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Descripción del motivo de la sanción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XXV. Finanzas, patrimonio e inventario</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Descripción del bien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Causa de alta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Valor del inmueble a la fecha del alta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Descripción del bien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Causa de baja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30. Periodo de actualización de la información: anual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35.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37. La información publicada se organiza mediante los formatos 25a, 25b, 25c y 25d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XXVI. Resoluciones de órganos disciplinarios</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485"/>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Descripción ampliada de la sanción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Descripción de hechos que motivaron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3065" w:type="dxa"/>
            <w:gridSpan w:val="3"/>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XXVII. Representantes electorales</w:t>
            </w:r>
          </w:p>
        </w:tc>
        <w:tc>
          <w:tcPr>
            <w:tcW w:w="1218"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Denominación del cargo,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Correo electrónico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XXVIII. Control de procesos internos de selección de candidatos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Descripción del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Condiciones de elegibilidad o requisitos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Obligaciones y derechos de los aspirantes y candidatos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XXIX. Fundaciones, asociaciones, centros, institutos de investigación o capacitación</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de la persona moral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 Nombre completo del Director de la organización o similar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Hipervínculo al organigrama de áreas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Publicaciones o documentos emitidos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313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Correo electrónico oficial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76 - Fracción XXX. Resoluciones de autoridad electoral sobre ingresos y gastos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Número de expediente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Descripción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Fecha de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A654F" w:rsidRDefault="005A654F" w:rsidP="00621A36">
      <w:pPr>
        <w:jc w:val="center"/>
        <w:rPr>
          <w:rFonts w:ascii="Source Sans Pro" w:hAnsi="Source Sans Pro" w:cs="Arial"/>
          <w:b/>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567"/>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74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61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61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21 - Fracción XIX. Los convenios de frente, coalición o fusión que celebren o de participación electoral que realicen con asociaciones políticas</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reporta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Tipo de acción electoral (catálogo): convenio de frente político,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Denominación de la asociación política con la que se firmó el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Nivel electoral que abarca (catálogo): estatal, municipal y/o distrital.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Tipo de candidatura (catálogo): Gubernatura, diputación local, presidencia municipal y/o alcaldía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Proceso electoral en el que resulta aplicable la vinculación (fecha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La información publicada se organiza mediante el formato 19,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Nombre del Informe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Fundamento Jurídico del informe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Ante quien se presenta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9094" w:type="dxa"/>
            <w:gridSpan w:val="5"/>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21 - Fracción XXXII. Los informes anuales de campaña, así como los de los procesos internos de selección de candidatos, una vez que hayan sido resueltos por la autoridad electoral; y</w:t>
            </w: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Hipervínculo al informe anual de campaña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Procedimiento de selección de candidatos (especificar cual procedimiento se adoptó)</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290"/>
        </w:trPr>
        <w:tc>
          <w:tcPr>
            <w:tcW w:w="4283" w:type="dxa"/>
            <w:gridSpan w:val="4"/>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r w:rsidRPr="005A654F">
              <w:rPr>
                <w:rFonts w:ascii="Source Sans Pro" w:hAnsi="Source Sans Pro" w:cs="Calibri"/>
                <w:b/>
                <w:bCs/>
                <w:color w:val="000000"/>
                <w:sz w:val="16"/>
                <w:szCs w:val="16"/>
              </w:rPr>
              <w:t>Art. 21 - Fracción XXXIII. Los gastos de campaña</w:t>
            </w:r>
          </w:p>
        </w:tc>
        <w:tc>
          <w:tcPr>
            <w:tcW w:w="4811" w:type="dxa"/>
            <w:tcBorders>
              <w:top w:val="nil"/>
              <w:left w:val="nil"/>
              <w:bottom w:val="single" w:sz="6" w:space="0" w:color="auto"/>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r>
      <w:tr w:rsidR="005A654F" w:rsidRPr="005A654F" w:rsidTr="005A654F">
        <w:trPr>
          <w:trHeight w:val="290"/>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w:t>
            </w:r>
          </w:p>
        </w:tc>
        <w:tc>
          <w:tcPr>
            <w:tcW w:w="87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Valoración</w:t>
            </w:r>
          </w:p>
        </w:tc>
        <w:tc>
          <w:tcPr>
            <w:tcW w:w="1218"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Tipo</w:t>
            </w:r>
          </w:p>
        </w:tc>
        <w:tc>
          <w:tcPr>
            <w:tcW w:w="4811" w:type="dxa"/>
            <w:tcBorders>
              <w:top w:val="nil"/>
              <w:left w:val="nil"/>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Observaciones, Recomendaciones y/o Requerimientos</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4. Monto destinado por el Consejo General del OPLE</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696"/>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5. Monto realizado por el partido o coalición sobre los gastos de campaña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6. Hipervínculo al documento que acredite la designación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7. Área o unidad administrativa que generan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8.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044"/>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12.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87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13.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392"/>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1219"/>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15.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A654F" w:rsidRPr="005A654F" w:rsidTr="005A654F">
        <w:trPr>
          <w:trHeight w:val="521"/>
        </w:trPr>
        <w:tc>
          <w:tcPr>
            <w:tcW w:w="194" w:type="dxa"/>
            <w:tcBorders>
              <w:top w:val="nil"/>
              <w:left w:val="single" w:sz="6" w:space="0" w:color="FFFFFF"/>
              <w:bottom w:val="nil"/>
              <w:right w:val="nil"/>
            </w:tcBorders>
          </w:tcPr>
          <w:p w:rsidR="005A654F" w:rsidRPr="005A654F" w:rsidRDefault="005A654F" w:rsidP="005A654F">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A654F" w:rsidRPr="005A654F" w:rsidRDefault="005A654F" w:rsidP="005A654F">
            <w:pPr>
              <w:autoSpaceDE w:val="0"/>
              <w:autoSpaceDN w:val="0"/>
              <w:adjustRightInd w:val="0"/>
              <w:rPr>
                <w:rFonts w:ascii="Source Sans Pro" w:hAnsi="Source Sans Pro" w:cs="Calibri"/>
                <w:color w:val="000000"/>
                <w:sz w:val="16"/>
                <w:szCs w:val="16"/>
              </w:rPr>
            </w:pPr>
            <w:r w:rsidRPr="005A654F">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bookmarkStart w:id="0" w:name="_GoBack"/>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 xml:space="preserve">atienda los requerimientos contenidos en la Memoria Técnica de </w:t>
      </w:r>
      <w:r w:rsidR="00356C73" w:rsidRPr="00E80193">
        <w:rPr>
          <w:rFonts w:ascii="Source Sans Pro" w:hAnsi="Source Sans Pro" w:cs="Arial"/>
          <w:sz w:val="22"/>
          <w:szCs w:val="22"/>
        </w:rPr>
        <w:lastRenderedPageBreak/>
        <w:t>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bookmarkEnd w:id="0"/>
    <w:p w:rsidR="003F1F88" w:rsidRPr="004913A9" w:rsidRDefault="003F1F88" w:rsidP="000A6A84">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r w:rsidRPr="004913A9">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Irma Domínguez Hernández</w:t>
      </w: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 xml:space="preserve">Directora de Capacitación y Vinculación Ciudadana del </w:t>
      </w: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Instituto Veracruzano de Acceso a la Información y Protección de Datos Personales.</w:t>
      </w:r>
    </w:p>
    <w:p w:rsidR="004C1CD3" w:rsidRPr="004913A9" w:rsidRDefault="004C1CD3" w:rsidP="004913A9">
      <w:pPr>
        <w:rPr>
          <w:rFonts w:ascii="Source Sans Pro" w:hAnsi="Source Sans Pro" w:cs="Arial"/>
          <w:b/>
          <w:sz w:val="22"/>
          <w:szCs w:val="22"/>
        </w:rPr>
      </w:pPr>
    </w:p>
    <w:sectPr w:rsidR="004C1CD3" w:rsidRPr="004913A9"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183" w:rsidRDefault="000F1183" w:rsidP="006B5F99">
      <w:r>
        <w:separator/>
      </w:r>
    </w:p>
  </w:endnote>
  <w:endnote w:type="continuationSeparator" w:id="0">
    <w:p w:rsidR="000F1183" w:rsidRDefault="000F118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4913A9" w:rsidRPr="00697C84" w:rsidRDefault="004913A9">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F60B0" w:rsidRPr="005F60B0">
          <w:rPr>
            <w:rFonts w:ascii="Source Sans Pro" w:hAnsi="Source Sans Pro"/>
            <w:noProof/>
            <w:sz w:val="20"/>
            <w:szCs w:val="20"/>
            <w:lang w:val="es-ES"/>
          </w:rPr>
          <w:t>109</w:t>
        </w:r>
        <w:r w:rsidRPr="00697C84">
          <w:rPr>
            <w:rFonts w:ascii="Source Sans Pro" w:hAnsi="Source Sans Pro"/>
            <w:sz w:val="20"/>
            <w:szCs w:val="20"/>
          </w:rPr>
          <w:fldChar w:fldCharType="end"/>
        </w:r>
      </w:p>
    </w:sdtContent>
  </w:sdt>
  <w:p w:rsidR="004913A9" w:rsidRDefault="004913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183" w:rsidRDefault="000F1183" w:rsidP="006B5F99">
      <w:r>
        <w:separator/>
      </w:r>
    </w:p>
  </w:footnote>
  <w:footnote w:type="continuationSeparator" w:id="0">
    <w:p w:rsidR="000F1183" w:rsidRDefault="000F118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4913A9" w:rsidRPr="00FF0BED" w:rsidTr="00017603">
      <w:tc>
        <w:tcPr>
          <w:tcW w:w="1896" w:type="dxa"/>
        </w:tcPr>
        <w:p w:rsidR="004913A9" w:rsidRPr="00FF0BED" w:rsidRDefault="004913A9"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913A9" w:rsidRPr="00FF0BED" w:rsidRDefault="004913A9" w:rsidP="006B5F99">
          <w:pPr>
            <w:pStyle w:val="Encabezado"/>
            <w:jc w:val="center"/>
            <w:rPr>
              <w:rFonts w:ascii="Source Sans Pro" w:hAnsi="Source Sans Pro"/>
              <w:b/>
              <w:sz w:val="22"/>
              <w:szCs w:val="22"/>
            </w:rPr>
          </w:pPr>
        </w:p>
      </w:tc>
      <w:tc>
        <w:tcPr>
          <w:tcW w:w="5678" w:type="dxa"/>
        </w:tcPr>
        <w:p w:rsidR="004913A9" w:rsidRPr="00FF0BED" w:rsidRDefault="004913A9"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4913A9" w:rsidRDefault="004913A9" w:rsidP="00DD5EEB">
          <w:pPr>
            <w:pStyle w:val="Encabezado"/>
            <w:rPr>
              <w:rFonts w:ascii="Source Sans Pro" w:hAnsi="Source Sans Pro"/>
              <w:b/>
              <w:sz w:val="22"/>
              <w:szCs w:val="22"/>
            </w:rPr>
          </w:pPr>
        </w:p>
        <w:p w:rsidR="004913A9" w:rsidRDefault="004913A9"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005F60B0">
            <w:rPr>
              <w:rFonts w:ascii="Source Sans Pro" w:hAnsi="Source Sans Pro"/>
              <w:b/>
              <w:sz w:val="22"/>
              <w:szCs w:val="22"/>
            </w:rPr>
            <w:t xml:space="preserve">ASOCIACIÓN POLÍTICA </w:t>
          </w:r>
          <w:r>
            <w:rPr>
              <w:rFonts w:ascii="Source Sans Pro" w:hAnsi="Source Sans Pro" w:cs="Arial"/>
              <w:b/>
              <w:sz w:val="22"/>
              <w:szCs w:val="22"/>
            </w:rPr>
            <w:t>VÍA VERACRUZANA</w:t>
          </w:r>
        </w:p>
        <w:p w:rsidR="004913A9" w:rsidRDefault="004913A9" w:rsidP="00DD5EEB">
          <w:pPr>
            <w:pStyle w:val="Encabezado"/>
            <w:rPr>
              <w:rFonts w:ascii="Source Sans Pro" w:hAnsi="Source Sans Pro"/>
              <w:b/>
              <w:sz w:val="22"/>
              <w:szCs w:val="22"/>
            </w:rPr>
          </w:pPr>
        </w:p>
        <w:p w:rsidR="004913A9" w:rsidRDefault="004913A9"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4913A9" w:rsidRPr="00FF0BED" w:rsidRDefault="004913A9" w:rsidP="00DD5EEB">
          <w:pPr>
            <w:pStyle w:val="Encabezado"/>
            <w:rPr>
              <w:rFonts w:ascii="Source Sans Pro" w:hAnsi="Source Sans Pro"/>
              <w:b/>
              <w:sz w:val="22"/>
              <w:szCs w:val="22"/>
            </w:rPr>
          </w:pPr>
        </w:p>
        <w:p w:rsidR="004913A9" w:rsidRPr="00FF0BED" w:rsidRDefault="004913A9" w:rsidP="00DD5EEB">
          <w:pPr>
            <w:pStyle w:val="Encabezado"/>
            <w:rPr>
              <w:rFonts w:ascii="Source Sans Pro" w:hAnsi="Source Sans Pro"/>
              <w:b/>
              <w:sz w:val="22"/>
              <w:szCs w:val="22"/>
            </w:rPr>
          </w:pPr>
          <w:r>
            <w:rPr>
              <w:rFonts w:ascii="Source Sans Pro" w:hAnsi="Source Sans Pro"/>
              <w:b/>
              <w:sz w:val="22"/>
              <w:szCs w:val="22"/>
            </w:rPr>
            <w:t>DICTAMEN DE INCUMPLIMIENTO</w:t>
          </w:r>
        </w:p>
        <w:p w:rsidR="004913A9" w:rsidRPr="00FF0BED" w:rsidRDefault="004913A9" w:rsidP="00DD5EEB">
          <w:pPr>
            <w:pStyle w:val="Encabezado"/>
            <w:rPr>
              <w:rFonts w:ascii="Source Sans Pro" w:hAnsi="Source Sans Pro"/>
              <w:b/>
              <w:sz w:val="22"/>
              <w:szCs w:val="22"/>
            </w:rPr>
          </w:pPr>
        </w:p>
        <w:p w:rsidR="004913A9" w:rsidRPr="00FF0BED" w:rsidRDefault="004913A9" w:rsidP="0089396A">
          <w:pPr>
            <w:pStyle w:val="Encabezado"/>
            <w:rPr>
              <w:rFonts w:ascii="Source Sans Pro" w:hAnsi="Source Sans Pro"/>
              <w:b/>
              <w:sz w:val="22"/>
              <w:szCs w:val="22"/>
            </w:rPr>
          </w:pPr>
          <w:r>
            <w:rPr>
              <w:rFonts w:ascii="Source Sans Pro" w:hAnsi="Source Sans Pro"/>
              <w:b/>
              <w:sz w:val="22"/>
              <w:szCs w:val="22"/>
            </w:rPr>
            <w:t>EXPEDIENTE: IVAI/VEOFI-009/031/2022</w:t>
          </w:r>
        </w:p>
      </w:tc>
    </w:tr>
  </w:tbl>
  <w:p w:rsidR="004913A9" w:rsidRPr="00FF0BED" w:rsidRDefault="004913A9"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F1183"/>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21D2"/>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13A9"/>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0FB9"/>
    <w:rsid w:val="005F4F4A"/>
    <w:rsid w:val="005F60B0"/>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512C2-4F0A-4A4F-A31F-0E39CA47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128</Pages>
  <Words>78047</Words>
  <Characters>429262</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65</cp:revision>
  <cp:lastPrinted>2022-06-08T16:22:00Z</cp:lastPrinted>
  <dcterms:created xsi:type="dcterms:W3CDTF">2021-10-21T15:13:00Z</dcterms:created>
  <dcterms:modified xsi:type="dcterms:W3CDTF">2022-06-08T17:24:00Z</dcterms:modified>
</cp:coreProperties>
</file>