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21452CC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1A59F0">
        <w:rPr>
          <w:rFonts w:ascii="Source Sans Pro" w:hAnsi="Source Sans Pro"/>
          <w:b/>
          <w:sz w:val="22"/>
          <w:szCs w:val="22"/>
          <w:lang w:val="es-ES"/>
        </w:rPr>
        <w:t>585</w:t>
      </w:r>
      <w:bookmarkStart w:id="1" w:name="_GoBack"/>
      <w:bookmarkEnd w:id="1"/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2C27DBEE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0F7EB6">
        <w:rPr>
          <w:rFonts w:ascii="Source Sans Pro" w:hAnsi="Source Sans Pro"/>
          <w:sz w:val="22"/>
          <w:szCs w:val="22"/>
        </w:rPr>
        <w:t>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0CB4BE96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2D3FF6">
        <w:rPr>
          <w:rFonts w:ascii="Source Sans Pro" w:hAnsi="Source Sans Pro"/>
          <w:b/>
          <w:sz w:val="22"/>
          <w:szCs w:val="22"/>
        </w:rPr>
        <w:t>00</w:t>
      </w:r>
      <w:r w:rsidR="000F7EB6">
        <w:rPr>
          <w:rFonts w:ascii="Source Sans Pro" w:hAnsi="Source Sans Pro"/>
          <w:b/>
          <w:sz w:val="22"/>
          <w:szCs w:val="22"/>
        </w:rPr>
        <w:t>9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0F7EB6">
        <w:rPr>
          <w:rFonts w:ascii="Source Sans Pro" w:hAnsi="Source Sans Pro"/>
          <w:b/>
          <w:sz w:val="22"/>
          <w:szCs w:val="22"/>
        </w:rPr>
        <w:t>31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1A36B044" w:rsidR="008805C1" w:rsidRDefault="000F7EB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VÍA VERACRUZANA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214A0A47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0F7EB6">
        <w:rPr>
          <w:rFonts w:ascii="Source Sans Pro" w:hAnsi="Source Sans Pro" w:cs="Arial"/>
          <w:sz w:val="22"/>
          <w:szCs w:val="22"/>
        </w:rPr>
        <w:t>total</w:t>
      </w:r>
      <w:r w:rsidR="00122FB9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2D3FF6">
        <w:rPr>
          <w:rFonts w:ascii="Source Sans Pro" w:hAnsi="Source Sans Pro" w:cs="Arial"/>
          <w:sz w:val="22"/>
          <w:szCs w:val="22"/>
        </w:rPr>
        <w:t>seis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73246010" w14:textId="77777777" w:rsidR="000F7EB6" w:rsidRPr="000F7EB6" w:rsidRDefault="000F7EB6" w:rsidP="000F7EB6">
      <w:pPr>
        <w:ind w:left="709" w:right="131"/>
        <w:rPr>
          <w:rFonts w:ascii="Source Sans Pro" w:hAnsi="Source Sans Pro" w:cs="Arial"/>
          <w:sz w:val="18"/>
          <w:szCs w:val="18"/>
        </w:rPr>
      </w:pPr>
      <w:r w:rsidRPr="000F7EB6">
        <w:rPr>
          <w:rFonts w:ascii="Source Sans Pro" w:hAnsi="Source Sans Pro" w:cs="Arial"/>
          <w:b/>
          <w:sz w:val="18"/>
          <w:szCs w:val="18"/>
        </w:rPr>
        <w:t>PRIMERO.</w:t>
      </w:r>
      <w:r w:rsidRPr="000F7EB6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0F7EB6">
        <w:rPr>
          <w:rFonts w:ascii="Source Sans Pro" w:hAnsi="Source Sans Pro" w:cs="Arial"/>
          <w:b/>
          <w:sz w:val="18"/>
          <w:szCs w:val="18"/>
        </w:rPr>
        <w:t>PERSISTE</w:t>
      </w:r>
      <w:r w:rsidRPr="000F7EB6">
        <w:rPr>
          <w:rFonts w:ascii="Source Sans Pro" w:hAnsi="Source Sans Pro" w:cs="Arial"/>
          <w:sz w:val="18"/>
          <w:szCs w:val="18"/>
        </w:rPr>
        <w:t xml:space="preserve"> con el </w:t>
      </w:r>
      <w:r w:rsidRPr="000F7EB6">
        <w:rPr>
          <w:rFonts w:ascii="Source Sans Pro" w:hAnsi="Source Sans Pro" w:cs="Arial"/>
          <w:b/>
          <w:sz w:val="18"/>
          <w:szCs w:val="18"/>
        </w:rPr>
        <w:t>INCUMPLIMIENTO TOTAL</w:t>
      </w:r>
      <w:r w:rsidRPr="000F7EB6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0F7EB6">
        <w:rPr>
          <w:rFonts w:ascii="Source Sans Pro" w:hAnsi="Source Sans Pro" w:cs="Arial"/>
          <w:b/>
          <w:sz w:val="18"/>
          <w:szCs w:val="18"/>
        </w:rPr>
        <w:t xml:space="preserve">cuarto trimestre de dos mil veintiuno </w:t>
      </w:r>
      <w:r w:rsidRPr="000F7EB6">
        <w:rPr>
          <w:rFonts w:ascii="Source Sans Pro" w:hAnsi="Source Sans Pro" w:cs="Arial"/>
          <w:sz w:val="18"/>
          <w:szCs w:val="18"/>
        </w:rPr>
        <w:t xml:space="preserve">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0F7EB6">
        <w:rPr>
          <w:rFonts w:ascii="Source Sans Pro" w:hAnsi="Source Sans Pro" w:cs="Arial"/>
          <w:b/>
          <w:sz w:val="18"/>
          <w:szCs w:val="18"/>
        </w:rPr>
        <w:t xml:space="preserve">IVAI-OFICIO/DCVC/351/08/06/2022 </w:t>
      </w:r>
      <w:r w:rsidRPr="000F7EB6">
        <w:rPr>
          <w:rFonts w:ascii="Source Sans Pro" w:hAnsi="Source Sans Pro" w:cs="Arial"/>
          <w:sz w:val="18"/>
          <w:szCs w:val="18"/>
        </w:rPr>
        <w:t xml:space="preserve">y </w:t>
      </w:r>
      <w:r w:rsidRPr="000F7EB6">
        <w:rPr>
          <w:rFonts w:ascii="Source Sans Pro" w:hAnsi="Source Sans Pro" w:cs="Arial"/>
          <w:b/>
          <w:sz w:val="18"/>
          <w:szCs w:val="18"/>
        </w:rPr>
        <w:t>IVAI/OFICIO/DCVC/436/19/08/2022</w:t>
      </w:r>
      <w:r w:rsidRPr="000F7EB6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558631DC" w14:textId="77777777" w:rsidR="000F7EB6" w:rsidRPr="000F7EB6" w:rsidRDefault="000F7EB6" w:rsidP="000F7EB6">
      <w:pPr>
        <w:ind w:left="709" w:right="131"/>
        <w:rPr>
          <w:rFonts w:ascii="Source Sans Pro" w:hAnsi="Source Sans Pro" w:cs="Arial"/>
          <w:sz w:val="18"/>
          <w:szCs w:val="18"/>
        </w:rPr>
      </w:pPr>
    </w:p>
    <w:p w14:paraId="18339C11" w14:textId="2B85836B" w:rsidR="000F7EB6" w:rsidRPr="000F7EB6" w:rsidRDefault="000F7EB6" w:rsidP="000F7EB6">
      <w:pPr>
        <w:ind w:left="709" w:right="131"/>
        <w:rPr>
          <w:rFonts w:ascii="Source Sans Pro" w:hAnsi="Source Sans Pro" w:cs="Arial"/>
          <w:sz w:val="18"/>
          <w:szCs w:val="18"/>
        </w:rPr>
      </w:pPr>
      <w:r w:rsidRPr="000F7EB6">
        <w:rPr>
          <w:rFonts w:ascii="Source Sans Pro" w:hAnsi="Source Sans Pro" w:cs="Arial"/>
          <w:b/>
          <w:sz w:val="18"/>
          <w:szCs w:val="18"/>
        </w:rPr>
        <w:t>SEGUNDO</w:t>
      </w:r>
      <w:r w:rsidRPr="000F7EB6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0F7EB6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0F7EB6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0F7EB6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0F7EB6">
        <w:rPr>
          <w:rFonts w:ascii="Source Sans Pro" w:eastAsia="Times New Roman" w:hAnsi="Source Sans Pro"/>
          <w:sz w:val="18"/>
          <w:szCs w:val="18"/>
          <w:lang w:eastAsia="es-ES"/>
        </w:rPr>
        <w:t xml:space="preserve"> a la </w:t>
      </w:r>
      <w:r w:rsidRPr="000F7EB6">
        <w:rPr>
          <w:rFonts w:ascii="Source Sans Pro" w:eastAsia="Times New Roman" w:hAnsi="Source Sans Pro"/>
          <w:b/>
          <w:sz w:val="18"/>
          <w:szCs w:val="18"/>
          <w:lang w:eastAsia="es-ES"/>
        </w:rPr>
        <w:t>C.</w:t>
      </w:r>
      <w:r w:rsidRPr="000F7EB6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0F7EB6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María </w:t>
      </w:r>
      <w:proofErr w:type="spellStart"/>
      <w:r>
        <w:rPr>
          <w:rFonts w:ascii="Source Sans Pro" w:eastAsia="Times New Roman" w:hAnsi="Source Sans Pro"/>
          <w:b/>
          <w:sz w:val="18"/>
          <w:szCs w:val="18"/>
          <w:lang w:eastAsia="es-ES"/>
        </w:rPr>
        <w:t>Ba</w:t>
      </w:r>
      <w:r w:rsidRPr="000F7EB6">
        <w:rPr>
          <w:rFonts w:ascii="Source Sans Pro" w:eastAsia="Times New Roman" w:hAnsi="Source Sans Pro"/>
          <w:b/>
          <w:sz w:val="18"/>
          <w:szCs w:val="18"/>
          <w:lang w:eastAsia="es-ES"/>
        </w:rPr>
        <w:t>rbara</w:t>
      </w:r>
      <w:proofErr w:type="spellEnd"/>
      <w:r w:rsidRPr="000F7EB6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 León Castillo</w:t>
      </w:r>
      <w:r w:rsidRPr="000F7EB6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0F7EB6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0F7EB6">
        <w:rPr>
          <w:rFonts w:ascii="Source Sans Pro" w:hAnsi="Source Sans Pro"/>
          <w:sz w:val="18"/>
          <w:szCs w:val="18"/>
        </w:rPr>
        <w:t>la Unidad de Transparencia del sujeto obligado Vía Veracruzana.</w:t>
      </w:r>
    </w:p>
    <w:p w14:paraId="0EF6F52C" w14:textId="77777777" w:rsidR="000F7EB6" w:rsidRPr="000F7EB6" w:rsidRDefault="000F7EB6" w:rsidP="000F7EB6">
      <w:pPr>
        <w:autoSpaceDE w:val="0"/>
        <w:autoSpaceDN w:val="0"/>
        <w:adjustRightInd w:val="0"/>
        <w:ind w:left="709" w:right="131"/>
        <w:rPr>
          <w:rFonts w:ascii="Source Sans Pro" w:hAnsi="Source Sans Pro"/>
          <w:b/>
          <w:sz w:val="18"/>
          <w:szCs w:val="18"/>
        </w:rPr>
      </w:pPr>
    </w:p>
    <w:p w14:paraId="332846EB" w14:textId="77777777" w:rsidR="000F7EB6" w:rsidRPr="000F7EB6" w:rsidRDefault="000F7EB6" w:rsidP="000F7EB6">
      <w:pPr>
        <w:ind w:left="709" w:right="131"/>
        <w:rPr>
          <w:rFonts w:ascii="Source Sans Pro" w:hAnsi="Source Sans Pro" w:cs="Arial"/>
          <w:sz w:val="18"/>
          <w:szCs w:val="18"/>
        </w:rPr>
      </w:pPr>
      <w:r w:rsidRPr="000F7EB6">
        <w:rPr>
          <w:rFonts w:ascii="Source Sans Pro" w:hAnsi="Source Sans Pro"/>
          <w:b/>
          <w:sz w:val="18"/>
          <w:szCs w:val="18"/>
        </w:rPr>
        <w:t>Notifíquese</w:t>
      </w:r>
      <w:r w:rsidRPr="000F7EB6">
        <w:rPr>
          <w:rFonts w:ascii="Source Sans Pro" w:hAnsi="Source Sans Pro"/>
          <w:sz w:val="18"/>
          <w:szCs w:val="18"/>
        </w:rPr>
        <w:t xml:space="preserve"> </w:t>
      </w:r>
      <w:r w:rsidRPr="000F7EB6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0F7EB6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0F7EB6">
        <w:rPr>
          <w:rFonts w:ascii="Source Sans Pro" w:hAnsi="Source Sans Pro"/>
          <w:sz w:val="18"/>
          <w:szCs w:val="18"/>
        </w:rPr>
        <w:t>la Unidad de Transparencia del sujeto obligado,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sz w:val="18"/>
          <w:szCs w:val="18"/>
        </w:rPr>
      </w:pPr>
    </w:p>
    <w:p w14:paraId="2845351F" w14:textId="77777777" w:rsidR="00691154" w:rsidRDefault="00691154" w:rsidP="0077295F">
      <w:pPr>
        <w:ind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1469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0F7EB6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A59F0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3FF6"/>
    <w:rsid w:val="002D5D17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154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7295F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DDCE-BCD7-4882-8B13-E95C707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2022-10-11T14:04:00Z</dcterms:created>
  <dcterms:modified xsi:type="dcterms:W3CDTF">2022-10-11T14:07:00Z</dcterms:modified>
</cp:coreProperties>
</file>