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EC06E0">
        <w:rPr>
          <w:rFonts w:ascii="Source Sans Pro" w:hAnsi="Source Sans Pro" w:cs="Arial"/>
          <w:b/>
          <w:sz w:val="22"/>
          <w:szCs w:val="22"/>
        </w:rPr>
        <w:t xml:space="preserve">ríquez, Veracruz, a ocho de junio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0C5204">
        <w:rPr>
          <w:rFonts w:ascii="Source Sans Pro" w:hAnsi="Source Sans Pro" w:cs="Arial"/>
          <w:sz w:val="22"/>
          <w:szCs w:val="22"/>
        </w:rPr>
        <w:t xml:space="preserve"> </w:t>
      </w:r>
      <w:r w:rsidR="000C5204" w:rsidRPr="000C5204">
        <w:rPr>
          <w:rFonts w:ascii="Source Sans Pro" w:hAnsi="Source Sans Pro"/>
          <w:sz w:val="22"/>
          <w:szCs w:val="22"/>
        </w:rPr>
        <w:t xml:space="preserve">Ayuntamiento </w:t>
      </w:r>
      <w:r w:rsidR="000C5204">
        <w:rPr>
          <w:rFonts w:ascii="Source Sans Pro" w:hAnsi="Source Sans Pro"/>
          <w:sz w:val="22"/>
          <w:szCs w:val="22"/>
        </w:rPr>
        <w:t>d</w:t>
      </w:r>
      <w:r w:rsidR="00E128EF">
        <w:rPr>
          <w:rFonts w:ascii="Source Sans Pro" w:hAnsi="Source Sans Pro"/>
          <w:sz w:val="22"/>
          <w:szCs w:val="22"/>
        </w:rPr>
        <w:t xml:space="preserve">e Castillo de </w:t>
      </w:r>
      <w:proofErr w:type="spellStart"/>
      <w:r w:rsidR="00E128EF">
        <w:rPr>
          <w:rFonts w:ascii="Source Sans Pro" w:hAnsi="Source Sans Pro"/>
          <w:sz w:val="22"/>
          <w:szCs w:val="22"/>
        </w:rPr>
        <w:t>Teayo</w:t>
      </w:r>
      <w:proofErr w:type="spellEnd"/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5E6B3F" w:rsidRDefault="007B1B80" w:rsidP="005E6B3F">
      <w:pPr>
        <w:rPr>
          <w:rFonts w:ascii="Source Sans Pro" w:hAnsi="Source Sans Pro" w:cs="Arial"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9A2416" w:rsidRPr="00C72D53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E128EF">
        <w:rPr>
          <w:rFonts w:ascii="Source Sans Pro" w:hAnsi="Source Sans Pro" w:cs="Arial"/>
          <w:b/>
          <w:sz w:val="22"/>
          <w:szCs w:val="22"/>
        </w:rPr>
        <w:t>IVAI/VEOFI-042/044</w:t>
      </w:r>
      <w:r w:rsidR="00C72D53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C72D53">
        <w:rPr>
          <w:rFonts w:ascii="Source Sans Pro" w:hAnsi="Source Sans Pro" w:cs="Arial"/>
          <w:sz w:val="22"/>
          <w:szCs w:val="22"/>
        </w:rPr>
        <w:t>l</w:t>
      </w:r>
      <w:r w:rsidR="00C72D53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C72D53">
        <w:rPr>
          <w:rFonts w:ascii="Source Sans Pro" w:hAnsi="Source Sans Pro"/>
          <w:sz w:val="22"/>
          <w:szCs w:val="22"/>
        </w:rPr>
        <w:t>Procedimiento de V</w:t>
      </w:r>
      <w:r w:rsidR="00C72D53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C72D53">
        <w:rPr>
          <w:rFonts w:ascii="Source Sans Pro" w:hAnsi="Source Sans Pro"/>
          <w:sz w:val="22"/>
          <w:szCs w:val="22"/>
        </w:rPr>
        <w:t>Seguimiento del Cumplimiento de las Obligaciones de T</w:t>
      </w:r>
      <w:r w:rsidR="00C72D53" w:rsidRPr="00C72D53">
        <w:rPr>
          <w:rFonts w:ascii="Source Sans Pro" w:hAnsi="Source Sans Pro"/>
          <w:sz w:val="22"/>
          <w:szCs w:val="22"/>
        </w:rPr>
        <w:t>ransparencia</w:t>
      </w:r>
      <w:r w:rsidR="00C72D53">
        <w:rPr>
          <w:rFonts w:ascii="Source Sans Pro" w:hAnsi="Source Sans Pro"/>
          <w:sz w:val="22"/>
          <w:szCs w:val="22"/>
        </w:rPr>
        <w:t xml:space="preserve"> </w:t>
      </w:r>
      <w:r w:rsidR="00C72D53">
        <w:rPr>
          <w:rFonts w:ascii="Source Sans Pro" w:hAnsi="Source Sans Pro" w:cs="Arial"/>
          <w:sz w:val="22"/>
          <w:szCs w:val="22"/>
        </w:rPr>
        <w:t>para el ejercicio 2022</w:t>
      </w:r>
      <w:r w:rsidR="00C72D53" w:rsidRPr="000A6A84">
        <w:rPr>
          <w:rFonts w:ascii="Source Sans Pro" w:hAnsi="Source Sans Pro" w:cs="Arial"/>
          <w:sz w:val="22"/>
          <w:szCs w:val="22"/>
        </w:rPr>
        <w:t>.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III.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535907">
        <w:rPr>
          <w:rFonts w:ascii="Source Sans Pro" w:hAnsi="Source Sans Pro" w:cs="Arial"/>
          <w:sz w:val="22"/>
          <w:szCs w:val="22"/>
        </w:rPr>
        <w:t>veintinueve</w:t>
      </w:r>
      <w:r w:rsidR="000C5204">
        <w:rPr>
          <w:rFonts w:ascii="Source Sans Pro" w:hAnsi="Source Sans Pro" w:cs="Arial"/>
          <w:sz w:val="22"/>
          <w:szCs w:val="22"/>
        </w:rPr>
        <w:t xml:space="preserve"> de abril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>de la</w:t>
      </w:r>
      <w:r w:rsidR="00FD6FAD">
        <w:rPr>
          <w:rFonts w:ascii="Source Sans Pro" w:hAnsi="Source Sans Pro" w:cs="Arial"/>
          <w:sz w:val="22"/>
          <w:szCs w:val="22"/>
        </w:rPr>
        <w:t xml:space="preserve">s obligaciones de transparencia comunes y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conformidad a su tabla de aplicabilidad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346AE4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535907" w:rsidRDefault="00E128EF" w:rsidP="00E128EF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04AE8C6C" wp14:editId="03849825">
            <wp:extent cx="3922026" cy="182880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1489" cy="18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907" w:rsidRDefault="00535907" w:rsidP="00346AE4">
      <w:pPr>
        <w:rPr>
          <w:rFonts w:ascii="Source Sans Pro" w:hAnsi="Source Sans Pro" w:cs="Arial"/>
          <w:sz w:val="22"/>
          <w:szCs w:val="22"/>
        </w:rPr>
      </w:pPr>
    </w:p>
    <w:p w:rsidR="00E128EF" w:rsidRDefault="00E128EF" w:rsidP="00E128EF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4A930768" wp14:editId="7D5B8138">
            <wp:extent cx="3962666" cy="22225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245" cy="22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8EF" w:rsidRDefault="00E128EF" w:rsidP="00346AE4">
      <w:pPr>
        <w:rPr>
          <w:rFonts w:ascii="Source Sans Pro" w:hAnsi="Source Sans Pro" w:cs="Arial"/>
          <w:sz w:val="22"/>
          <w:szCs w:val="22"/>
        </w:rPr>
      </w:pPr>
    </w:p>
    <w:p w:rsidR="00E128EF" w:rsidRDefault="00E128EF" w:rsidP="00346AE4">
      <w:pPr>
        <w:rPr>
          <w:rFonts w:ascii="Source Sans Pro" w:hAnsi="Source Sans Pro" w:cs="Arial"/>
          <w:sz w:val="22"/>
          <w:szCs w:val="22"/>
        </w:rPr>
      </w:pPr>
    </w:p>
    <w:p w:rsidR="00E128EF" w:rsidRDefault="00E128EF" w:rsidP="00E128EF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1AB09B04" wp14:editId="2E5B70D1">
            <wp:extent cx="3967348" cy="2216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7813" cy="222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04" w:rsidRDefault="000C5204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DD2F52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I</w:t>
      </w:r>
      <w:r w:rsidR="00C72D53">
        <w:rPr>
          <w:rFonts w:ascii="Source Sans Pro" w:hAnsi="Source Sans Pro" w:cs="Arial"/>
          <w:b/>
          <w:sz w:val="22"/>
          <w:szCs w:val="22"/>
        </w:rPr>
        <w:t>V</w:t>
      </w:r>
      <w:r w:rsidRPr="000A6A84">
        <w:rPr>
          <w:rFonts w:ascii="Source Sans Pro" w:hAnsi="Source Sans Pro" w:cs="Arial"/>
          <w:b/>
          <w:sz w:val="22"/>
          <w:szCs w:val="22"/>
        </w:rPr>
        <w:t>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D1F76">
        <w:rPr>
          <w:rFonts w:ascii="Source Sans Pro" w:hAnsi="Source Sans Pro" w:cs="Arial"/>
          <w:sz w:val="22"/>
          <w:szCs w:val="22"/>
        </w:rPr>
        <w:t>veintinueve de abril</w:t>
      </w:r>
      <w:r w:rsidR="008D1F76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D1F76">
        <w:rPr>
          <w:rFonts w:ascii="Source Sans Pro" w:hAnsi="Source Sans Pro" w:cs="Arial"/>
          <w:sz w:val="22"/>
          <w:szCs w:val="22"/>
        </w:rPr>
        <w:t>e dos mil veintidós</w:t>
      </w:r>
      <w:r>
        <w:rPr>
          <w:rFonts w:ascii="Source Sans Pro" w:hAnsi="Source Sans Pro" w:cs="Arial"/>
          <w:sz w:val="22"/>
          <w:szCs w:val="22"/>
        </w:rPr>
        <w:t xml:space="preserve">, se concluyó la </w:t>
      </w:r>
      <w:r w:rsidRPr="000A6A84">
        <w:rPr>
          <w:rFonts w:ascii="Source Sans Pro" w:hAnsi="Source Sans Pro" w:cs="Arial"/>
          <w:sz w:val="22"/>
          <w:szCs w:val="22"/>
        </w:rPr>
        <w:t xml:space="preserve">revisión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de las obligaciones de transparencia comunes y específicas d</w:t>
      </w:r>
      <w:r>
        <w:rPr>
          <w:rFonts w:ascii="Source Sans Pro" w:hAnsi="Source Sans Pro" w:cs="Arial"/>
          <w:sz w:val="22"/>
          <w:szCs w:val="22"/>
        </w:rPr>
        <w:t xml:space="preserve">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0C5204">
        <w:rPr>
          <w:rFonts w:ascii="Source Sans Pro" w:hAnsi="Source Sans Pro" w:cs="Arial"/>
          <w:sz w:val="22"/>
          <w:szCs w:val="22"/>
        </w:rPr>
        <w:t xml:space="preserve">en el Portal de Internet y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2F10BD">
        <w:rPr>
          <w:rFonts w:ascii="Source Sans Pro" w:hAnsi="Source Sans Pro" w:cs="Arial"/>
          <w:sz w:val="22"/>
          <w:szCs w:val="22"/>
        </w:rPr>
        <w:t xml:space="preserve">de </w:t>
      </w:r>
      <w:r w:rsidR="002F10BD" w:rsidRPr="002F10BD">
        <w:rPr>
          <w:rFonts w:ascii="Source Sans Pro" w:hAnsi="Source Sans Pro" w:cs="Arial"/>
          <w:b/>
          <w:sz w:val="22"/>
          <w:szCs w:val="22"/>
        </w:rPr>
        <w:t>seis fracciones</w:t>
      </w:r>
      <w:r w:rsidR="002F10BD">
        <w:rPr>
          <w:rFonts w:ascii="Source Sans Pro" w:hAnsi="Source Sans Pro" w:cs="Arial"/>
          <w:sz w:val="22"/>
          <w:szCs w:val="22"/>
        </w:rPr>
        <w:t xml:space="preserve">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0C5204">
        <w:rPr>
          <w:rFonts w:ascii="Source Sans Pro" w:hAnsi="Source Sans Pro" w:cs="Arial"/>
          <w:sz w:val="22"/>
          <w:szCs w:val="22"/>
        </w:rPr>
        <w:t xml:space="preserve">Lineamientos Generales Locales, </w:t>
      </w:r>
      <w:r w:rsidR="00BA4411" w:rsidRPr="00BA4411">
        <w:rPr>
          <w:rFonts w:ascii="Source Sans Pro" w:hAnsi="Source Sans Pro" w:cs="Arial"/>
          <w:sz w:val="22"/>
          <w:szCs w:val="22"/>
        </w:rPr>
        <w:t>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 xml:space="preserve">a </w:t>
      </w:r>
      <w:r w:rsidR="00FD6FAD" w:rsidRPr="00FD6FAD">
        <w:rPr>
          <w:rFonts w:ascii="Source Sans Pro" w:hAnsi="Source Sans Pro" w:cs="Arial"/>
          <w:b/>
          <w:sz w:val="22"/>
          <w:szCs w:val="22"/>
        </w:rPr>
        <w:t>seis fracciones</w:t>
      </w:r>
      <w:r w:rsidR="00FD6FAD">
        <w:rPr>
          <w:rFonts w:ascii="Source Sans Pro" w:hAnsi="Source Sans Pro" w:cs="Arial"/>
          <w:sz w:val="22"/>
          <w:szCs w:val="22"/>
        </w:rPr>
        <w:t xml:space="preserve"> </w:t>
      </w:r>
      <w:r w:rsidR="00501E5B">
        <w:rPr>
          <w:rFonts w:ascii="Source Sans Pro" w:hAnsi="Source Sans Pro" w:cs="Arial"/>
          <w:sz w:val="22"/>
          <w:szCs w:val="22"/>
        </w:rPr>
        <w:t>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E128EF">
        <w:rPr>
          <w:rFonts w:ascii="Source Sans Pro" w:hAnsi="Source Sans Pro" w:cs="Arial"/>
          <w:b/>
          <w:sz w:val="22"/>
          <w:szCs w:val="22"/>
        </w:rPr>
        <w:t>diez punto cincuenta y cuatro 10.54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Cumplimiento en Portales de Transparencia</w:t>
      </w:r>
      <w:r w:rsidR="000C5204">
        <w:rPr>
          <w:rFonts w:ascii="Source Sans Pro" w:hAnsi="Source Sans Pro" w:cs="Arial"/>
          <w:sz w:val="22"/>
          <w:szCs w:val="22"/>
        </w:rPr>
        <w:t>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FD6FAD">
        <w:rPr>
          <w:rFonts w:ascii="Source Sans Pro" w:hAnsi="Source Sans Pro" w:cs="Arial"/>
          <w:sz w:val="22"/>
          <w:szCs w:val="22"/>
        </w:rPr>
        <w:t>in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B90D4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="003162DF">
        <w:rPr>
          <w:rFonts w:ascii="Source Sans Pro" w:hAnsi="Source Sans Pro" w:cs="Arial"/>
          <w:sz w:val="22"/>
          <w:szCs w:val="22"/>
        </w:rPr>
        <w:t xml:space="preserve">de </w:t>
      </w:r>
      <w:r w:rsidR="003162DF" w:rsidRPr="003162DF">
        <w:rPr>
          <w:rFonts w:ascii="Source Sans Pro" w:hAnsi="Source Sans Pro" w:cs="Arial"/>
          <w:b/>
          <w:sz w:val="22"/>
          <w:szCs w:val="22"/>
        </w:rPr>
        <w:t>seis fracciones</w:t>
      </w:r>
      <w:r w:rsidR="003162DF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>e la información c</w:t>
      </w:r>
      <w:r w:rsidR="003162DF">
        <w:rPr>
          <w:rFonts w:ascii="Source Sans Pro" w:hAnsi="Source Sans Pro" w:cs="Arial"/>
          <w:sz w:val="22"/>
          <w:szCs w:val="22"/>
        </w:rPr>
        <w:t xml:space="preserve">oncerniente a </w:t>
      </w:r>
      <w:r w:rsidR="00FD6FAD">
        <w:rPr>
          <w:rFonts w:ascii="Source Sans Pro" w:hAnsi="Source Sans Pro" w:cs="Arial"/>
          <w:sz w:val="22"/>
          <w:szCs w:val="22"/>
        </w:rPr>
        <w:t xml:space="preserve">de </w:t>
      </w:r>
      <w:r w:rsidR="003563C3">
        <w:rPr>
          <w:rFonts w:ascii="Source Sans Pro" w:hAnsi="Source Sans Pro" w:cs="Arial"/>
          <w:sz w:val="22"/>
          <w:szCs w:val="22"/>
        </w:rPr>
        <w:t xml:space="preserve">sus </w:t>
      </w:r>
      <w:r w:rsidRPr="00D17888">
        <w:rPr>
          <w:rFonts w:ascii="Source Sans Pro" w:hAnsi="Source Sans Pro" w:cs="Arial"/>
          <w:sz w:val="22"/>
          <w:szCs w:val="22"/>
        </w:rPr>
        <w:t>obligaciones de transparencia comun</w:t>
      </w:r>
      <w:r w:rsidR="003404E9">
        <w:rPr>
          <w:rFonts w:ascii="Source Sans Pro" w:hAnsi="Source Sans Pro" w:cs="Arial"/>
          <w:sz w:val="22"/>
          <w:szCs w:val="22"/>
        </w:rPr>
        <w:t>es y específicas establecidas de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404E9">
        <w:rPr>
          <w:rFonts w:ascii="Source Sans Pro" w:hAnsi="Source Sans Pro" w:cs="Arial"/>
          <w:sz w:val="22"/>
          <w:szCs w:val="22"/>
        </w:rPr>
        <w:t>de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Con fundamento en los artículos 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88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</w:t>
      </w:r>
      <w:r w:rsidR="007C6446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Pública;</w:t>
      </w:r>
      <w:r w:rsidR="00D17888" w:rsidRPr="00D17888">
        <w:rPr>
          <w:rFonts w:ascii="Source Sans Pro" w:hAnsi="Source Sans Pro" w:cs="Arial"/>
          <w:sz w:val="22"/>
          <w:szCs w:val="22"/>
        </w:rPr>
        <w:t xml:space="preserve"> 32</w:t>
      </w:r>
      <w:r w:rsidR="00717C4D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fracción II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de Veracruz;</w:t>
      </w:r>
      <w:r w:rsidR="00351898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3563C3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7C6446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E80193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</w:t>
      </w:r>
      <w:r w:rsidR="00E80193" w:rsidRPr="006E586F">
        <w:rPr>
          <w:rFonts w:ascii="Source Sans Pro" w:hAnsi="Source Sans Pro" w:cs="Arial"/>
          <w:b/>
          <w:sz w:val="22"/>
          <w:szCs w:val="22"/>
        </w:rPr>
        <w:t>el Sujeto Obligado debe cumplir con los requerimientos que se formulan de conformidad con lo siguiente</w:t>
      </w:r>
      <w:r w:rsidR="00E80193">
        <w:rPr>
          <w:rFonts w:ascii="Source Sans Pro" w:hAnsi="Source Sans Pro" w:cs="Arial"/>
          <w:sz w:val="22"/>
          <w:szCs w:val="22"/>
        </w:rPr>
        <w:t>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>establecidas en la Ley General de Transparencia y Acceso a la Información Pública</w:t>
      </w:r>
    </w:p>
    <w:p w:rsidR="00756C60" w:rsidRDefault="00756C60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360"/>
        <w:gridCol w:w="4669"/>
      </w:tblGrid>
      <w:tr w:rsidR="00E128EF" w:rsidRPr="00E128EF" w:rsidTr="00E128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VIII. La remuneración bruta y neta de todos los Servidores Públicos de base o de confianza, de todas las percepciones, incluyendo sueldos, prestaciones, gratificaciones, primas, comisiones, dietas, bonos, estímulos, ingresos y sistemas de compensación, señalando la periodicidad de dicha remuneración</w:t>
            </w:r>
          </w:p>
        </w:tc>
      </w:tr>
      <w:tr w:rsidR="00E128EF" w:rsidRPr="00E128EF" w:rsidTr="00E128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2438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Tipo de integrante del sujeto obligado (catálogo):  funcionario/servidor[a] público[a]/ servidor[a] público[a] eventual/integrante/empleado/representante popular/ miembro del poder judicial/miembro de órgano autónomo/personal de confianza/prestador de servicios profesionales/otro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o nivel del puesto (en su caso, de acuerdo con el catálogo que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o descripción del puesto (de acuerdo con el catálogo que en su caso regule la actividad del sujeto obligado)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Denominación del cargo (de conformidad con nombramiento otorgado)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 de adscripción (de acuerdo con el catálogo de áreas o puestos, si así corresponde)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Nombre completo del(a) servidor(a) público(a) y/o toda persona que desempeñe un empleo, cargo o comisión y/o ejerzan actos de autoridad (nombre [s], primer apellido, segundo apellido)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Sexo (catálogo): Femenino/Masculino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Monto de la remuneración mensual bruta, de conformidad al Tabulador de sueldos y salarios que corresponda (se refiere a las percepciones totales sin descuento alguno)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Tipo de moneda de la remuneración bruta.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12. Monto de la remuneración mensual neta, de conformidad al Tabulador de sueldos y salarios que corresponda (se refiere a la remuneración mensual bruta menos las deducciones genéricas previstas por ley: ISR, ISSSTE, otra)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13. Tipo de moneda de la remuneración neta.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Denominación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Monto bruto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Monto neto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Tipo de moneda de las percepciones adicionales en dinero.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Periodicidad de las percepciones adicionales en dinero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19. Descripción de las percepciones adicionales en especie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20. Periodicidad de las percepciones adicionales en especie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21. Denominación de los ingresos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Monto bruto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Monto neto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Tipo de moneda de los ingresos.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Periodicidad de los ingresos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Denominación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Monto bruto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Monto neto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Tipo de moneda de los sistemas de compensación.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Periodicidad de los sistemas de compensación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Denominación de las gratificaciones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Monto bruto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Monto neto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34. Tipo de moneda de las gratificaciones.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Periodicidad de las gratificaciones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36. Denominación de las primas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Monto bruto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Monto neto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39. Tipo de moneda de las primas. Por ejemplo: Peso, Dólar, Euro, Libra, Yen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Periodicidad de las primas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41. Denominación de las comisiones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Monto bruto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Monto neto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Tipo de moneda de las comisiones.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Periodicidad de las comisiones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Denominación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Monto bruto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48. Monto neto de las dietas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Tipo de moneda de las dietas.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Periodicidad de las dietas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51. Denominación de los bonos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52. Monto bruto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53. Monto neto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54. Tipo de moneda de los bonos.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55. Periodicidad de los bonos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56. Denominación de los estímulos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57. Monto bruto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58. Monto neto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59. Tipo de moneda de los estímulos.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60. Periodicidad de los estímulos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61. Denominación de los apoyos económicos. Por ejemplo, la asistencia legislativa que cubre a los CC. Diputados en apoyo para el desempeño de las funciones legislativas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62. Monto bruto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63. Monto neto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64. Tipo de moneda de los apoyos económicos. Por ejemplo: Peso, Dólar, Euro, Libra, Yen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65. Periodicidad de los apoyos económicos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20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66. Denominación de las prestaciones económicas. Por ejemplo, prestaciones de seguridad social, seguros y toda cantidad distinta del sueldo que el servidor público reciba en moneda circulante o en divisas, prevista en el nombramiento, en el contrato o en una disposición legal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67. Monto bruto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68. Monto neto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69. Tipo de moneda de las prestaciones económicas. Por ejemplo: Peso, Dólar, Euro, Libra, Yen (especificar nombre)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70. Periodicidad de las prestaciones económicas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71. Descripción de las prestaciones en especie. Éstas podrán ser por ejemplo, todo beneficio que el servidor(a) público(a</w:t>
            </w:r>
            <w:proofErr w:type="gram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)reciba</w:t>
            </w:r>
            <w:proofErr w:type="gram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bienes distintos de la moneda circulante.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278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72. Periodicidad de las prestaciones en especie. Se publicará el tabulador de sueldos y salarios de cada sujeto obligado de conformidad con la normatividad aplicable. La clave o nivel y denominación o descripción del puesto registrados en el tabulador deben corresponder con lo solicitado en los criterios 4 y 5, asimismo el tabulador se deberá publicar en un formato con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73. Hipervínculo al/los tabulador/es de sueldos y salarios del sujeto obligado de conformidad con la normatividad aplicable. El tabulador deberá estar en un formato de datos abiertos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74. Periodo de actualización de la información: semestral. En caso de que exista alguna modificación antes de la conclusión del periodo, la información deberá actualizarse a más tardar en los 15 días hábiles posteriores.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75.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76. Conservar en el sitio de Internet y a través de la Plataforma Nacional la información del ejercicio en curso y por lo menos uno anterior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77.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78.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79. Fecha de validación de la información publicada con el formato día/mes/año 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</w:t>
            </w:r>
            <w:proofErr w:type="gram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81 .</w:t>
            </w:r>
            <w:proofErr w:type="gram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La información publicada se organiza mediante los formatos 8a y 8b,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 en el Portal de transparencia,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XXI.  La información financiera sobre el presupuesto asignado, así como los informes del ejercicio trimestral del gasto, en términos de la Ley General de Contabilidad Gubernamental y demás normatividad aplicable</w:t>
            </w:r>
          </w:p>
        </w:tc>
      </w:tr>
      <w:tr w:rsidR="00E128EF" w:rsidRPr="00E128EF" w:rsidTr="00E128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Presupuesto anual asignado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Presupuesto por capítulo de gasto. Con base en el Clasificador por Objeto de Gasto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Hipervínculo al Presupuesto de Egresos que le corresponda al sujeto obligado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Hipervínculo a la página de internet denominada “Transparencia Presupuestaria observatorio del gasto”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Clave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Denominación del Capítulo de gasto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Presupuesto aprobado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Ampliación / (Reducciones)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Modificado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Devengado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Pagado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Subejercicio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Hipervínculo al Estado analítico del ejercicio del Presupuesto de Egresos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la página de internet en donde se publique la Cuenta Pública consolidada por la instancia correspondiente según el orden de gobierno de que se trate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23. Periodo de actualización de la información: trimestral y anual respecto del presupuesto anual asignado y la cuenta pública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26.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27.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28.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29.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La información publicada se organiza mediante los formatos 21a, 21b y 21c,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70 - Fracción XXII. La información relativa a la deuda pública, en términos de la normatividad aplicable</w:t>
            </w:r>
          </w:p>
        </w:tc>
      </w:tr>
      <w:tr w:rsidR="00E128EF" w:rsidRPr="00E128EF" w:rsidTr="00E128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Acreditado (sujeto obligado que contrae la obligación)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Denominación de la instancia ejecutora del recurso público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Tipo de obligación (catálogo): Crédito simple/Crédito en cuenta corriente/Emisión bursátil/Garantía de pago oportuno (GPO)/Contratos de proyectos de prestación de servicios (PPS)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Acreedor (Institución que otorgó el crédito)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Fecha de firma del contrato o instrumento jurídico en el cual se contrajo la obligación,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Monto original contratado, el cual consta en el contrato o instrumento jurídico en el que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Plazo de tasa de interés pactado en el contrato o instrumento jurídico en el cual se contrajo la obligación. Por ejemplo, mensual, semestral,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Tasa de interés pactada en el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Plazo pactado para pagar la deuda, el cual consta en el contrato o instrumento jurídico en el que se contrajo la obligación (especificar el número de meses)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Fecha de vencimiento de la deuda que conste en el contrato o instrumento jurídico en el que se contrajo la obligación,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Recurso afectado como fuente o garantía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Destino para el cual fue contraída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Saldo al periodo que se informa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 la autorización de la propuesta de endeudamiento que en su caso se haya presentado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Hipervínculo al listado de resoluciones negativas a la contratación de financiamiento para las entidades distintas al gobierno federal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al contrato o instrumento jurídico en el cual se contrajo la obligación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En su caso, hipervínculo al documento o instrumento en el cual se hayan especificado modificaciones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Hipervínculo a la Información estadística de finanzas públicas y deuda pública, publicado por la SHCP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informe enviado a la SHCP o equivalente de la entidad federativa que contenga el listado de todos los empréstitos y obligaciones de pago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22. Hipervínculo al informe de Cuenta Pública[5] enviado a la SHCP[6]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u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homóloga, en el cual se observe claramente el análisis correspondiente a la deuda pública que reportan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Fecha de inscripción en el Registro de Obligaciones y Empréstitos vigentes de Entidades, Municipios y sus Organismos, en su caso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Hipervínculo al Informe consolidado de la deuda pública de entidades federativas y municipios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Hipervínculo al informe consolidado de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Hipervínculo a la propuesta y reportes que genere la SHCP en caso de deuda pública externa contraída con organismos financieros internacionales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Periodo de actualización de la información: trimestral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La información publicada deberá estar actualizada al periodo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Conservar en el sitio de Internet y a través de la Plataforma Nacional la información vigente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30. Área(s) responsable(s) que genera(n), posee(n), publica(n) y/o actualiza(n)la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31. Fecha de actualización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32. Fecha de validación de la información publicada con el formato día/mes/año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33. Nota. Este criterio se cumple en caso de que sea necesario que el sujeto obligado incluya alguna aclaración relativa a la información publicada y/o explicación por la falta de información 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La información publicada se organiza mediante el formato 22,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</w:tbl>
    <w:p w:rsidR="00E128EF" w:rsidRDefault="00E128EF" w:rsidP="000A6A84">
      <w:pPr>
        <w:rPr>
          <w:rFonts w:ascii="Source Sans Pro" w:hAnsi="Source Sans Pro" w:cs="Arial"/>
          <w:sz w:val="18"/>
          <w:szCs w:val="18"/>
        </w:rPr>
      </w:pPr>
    </w:p>
    <w:p w:rsidR="00621A36" w:rsidRPr="00621A36" w:rsidRDefault="00621A36" w:rsidP="00621A36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621A36">
        <w:rPr>
          <w:rFonts w:ascii="Source Sans Pro" w:hAnsi="Source Sans Pro" w:cs="Arial"/>
          <w:b/>
          <w:sz w:val="18"/>
          <w:szCs w:val="18"/>
        </w:rPr>
        <w:t>Requerimientos derivados de la verificación de las obligaciones de transp</w:t>
      </w:r>
      <w:r w:rsidR="00D30BA0">
        <w:rPr>
          <w:rFonts w:ascii="Source Sans Pro" w:hAnsi="Source Sans Pro" w:cs="Arial"/>
          <w:b/>
          <w:sz w:val="18"/>
          <w:szCs w:val="18"/>
        </w:rPr>
        <w:t>arencia establecidas en la Ley n</w:t>
      </w:r>
      <w:r w:rsidRPr="00621A36">
        <w:rPr>
          <w:rFonts w:ascii="Source Sans Pro" w:hAnsi="Source Sans Pro" w:cs="Arial"/>
          <w:b/>
          <w:sz w:val="18"/>
          <w:szCs w:val="18"/>
        </w:rPr>
        <w:t>úmero 875 de Transparencia y Acceso a la Información Pública del Estado de Ve</w:t>
      </w:r>
      <w:r>
        <w:rPr>
          <w:rFonts w:ascii="Source Sans Pro" w:hAnsi="Source Sans Pro" w:cs="Arial"/>
          <w:b/>
          <w:sz w:val="18"/>
          <w:szCs w:val="18"/>
        </w:rPr>
        <w:t>racruz de Ignacio de la Llave</w:t>
      </w:r>
    </w:p>
    <w:p w:rsidR="00621A36" w:rsidRDefault="00621A36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360"/>
        <w:gridCol w:w="4669"/>
      </w:tblGrid>
      <w:tr w:rsidR="00E128EF" w:rsidRPr="00E128EF" w:rsidTr="00E128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15 - Fracción XLIX. Las cuentas públicas estatales y municipales, así como los documentos relativos, incluyendo el informe del resultado de su revisión y su dictamen</w:t>
            </w:r>
          </w:p>
        </w:tc>
      </w:tr>
      <w:tr w:rsidR="00E128EF" w:rsidRPr="00E128EF" w:rsidTr="00E128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Periodo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informe de resultados de la cuenta pública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actualización de la información publicada con el formato día/mes/año (por ej. 30/Junio/2016)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Fecha de validación de la información publicada con el formato día/mes/año (por ej. 16/Julio/2016)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La información publicada se organiza mediante el formato 49, en el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290"/>
        </w:trPr>
        <w:tc>
          <w:tcPr>
            <w:tcW w:w="4425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A. Plan Municipal de desarrollo</w:t>
            </w:r>
          </w:p>
        </w:tc>
        <w:tc>
          <w:tcPr>
            <w:tcW w:w="466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128EF" w:rsidRPr="00E128EF" w:rsidTr="00E128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Hipervínculo al Plan Municipal de Desarrollo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Período de actualización de la información: anual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La información deberá estar actualizada al período que corresponde,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Fecha de actualización de la información publicada con el formato día/mes/año (por ej. 30/Octubre/2016)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Fecha de validación de la información publicada con el formato día/mes/año (por ej. 16/Octubre/2016)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Criterio 11. La información publicada se organiza mediante el formato 1, en el que se incluyen todos los campos especificados en </w:t>
            </w: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lastRenderedPageBreak/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En este criterio se indica que el hipervínculo no enlaza correctamente a la información correspondiente,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16 - Fracción II, Inciso E. La información detallada que contengan los planes de desarrollo urbano, ordenamiento territorial y ecológico, los tipos de uso del suelo, licencias de uso y construcción otorgadas por los gobiernos municipales</w:t>
            </w:r>
          </w:p>
        </w:tc>
      </w:tr>
      <w:tr w:rsidR="00E128EF" w:rsidRPr="00E128EF" w:rsidTr="00E128EF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3. Denominación del Plan y/o Programa de Desarrollo Urbano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4. Hipervínculo al documento completo del Plan o Programa Municipal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5. Lineamientos por objetivos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7.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8.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9. Denominación del programa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Hipervínculo al documento completo de los Planes y programas de ordenamiento territorial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11. Lineamientos por objetivo del Plan (o planes)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12.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15. Denominación del programa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16. Hipervínculo al documento completo de los Planes y programas de ordenamiento ecológico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17. Lineamientos por objetivo del Plan municipal.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18. Hipervínculo a los documentos de mapas de apoyo explicativos de los Planes, o en su caso, a los mapas georreferenciados para la visualización de los terrenos a través de imágenes satelitales de los mismos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19.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20.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21. Hipervínculo al listado con los tipos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22. Hipervínculo a los mapas con tipología de uso del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23. Número total de cambios de uso de suelo solicitados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24. Número total de cambios de uso de suelo autorizados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25.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26.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27. Denominación de la licencia de uso de suelo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28. Objeto de las licencias de uso de suelo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29.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30. Domicilio de donde se solicita la licencia de uso de suelo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871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31. Período de vigencia señalando fecha de inicio y fecha de término de la licencia, expresado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32. Bienes, servicios y/o recursos públicos que aprovechará el titular de la licencia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33. Ejercicio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34. Período que se informa (fecha de inicio y fecha de término con el formato día/mes/año)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35. Denominación y/o tipo de licencia de construcción autorizada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36. Objeto de las licencias de construcción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37. Nombre o denominación de la persona física o moral que solicita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38. Domicilio de donde se solicita la licencia de construcción (tipo de vialidad [catálogo], nombre de vialidad [calle], número exterior, número interior [en su caso], tipo de asentamiento humano [catálogo], nombre de asentamiento humano [colonia], clave de la localidad, nombre de la localidad, clave del municipio, nombre del municipio o delegación, clave de la entidad federativa, nombre de la entidad federativa [catálogo], código postal)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39. Hipervínculo a la solicitud de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40. Período de vigencia señalando inicio y término en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41. Especificación de los bienes, servicios y/o recursos públicos que aprovechará el titular o, en su caso, señalar que no hay aprovechamiento de bien alguno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42. Hipervínculo a los documentos con los contenidos completos de la licencia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331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43. Período de actualización de la información: Respecto de planes de desarrollo urbano, ordenamiento territorial y ecológico, Anual. Si la información es objeto de modificaciones, deberá actualizarse dentro de los 10 días hábiles siguientes. Respecto a los tipos de uso de suelo, licencias de uso y construcción se actualizarán trimestralmente. En caso de sufrir modificaciones, éstas deberán actualizarse dentro de los 10 días hábiles siguientes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44. La información publicada deberá estar actualizada al período que corresponde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219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45. Conservar en el sitio de Internet y a través de la Plataforma Nacional la información de acuerdo con la Tabla de actualización y conservación de la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044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46. Área(s) o unidad(es) administrativa(s) que genera(n) o posee(n) la información respectiva y son responsables de publicarla y actualizarla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47. Fecha de actualización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48. Fecha de validación de la información publicada con el formato día/mes/año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49. Nota. Este criterio se cumple en caso de que sea necesario que el sujeto obligado incluya alguna aclaración relativa a la información publicada y/o explicación por la falta de información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139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50. La información publicada se organiza mediante el formato 5a, 5b, 5c, 5d, 5e y 5f en los que se incluyen todos los campos especificados en los criterios sustantivos de contenido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  <w:tr w:rsidR="00E128EF" w:rsidRPr="00E128EF" w:rsidTr="00E128EF">
        <w:trPr>
          <w:trHeight w:val="696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51. El soporte de la información permite su reutilización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28EF" w:rsidRPr="00E128EF" w:rsidRDefault="00E128EF" w:rsidP="00E128EF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En este criterio se indica que el registro no contiene información, y no se justifica </w:t>
            </w:r>
            <w:proofErr w:type="spellStart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>devidamente</w:t>
            </w:r>
            <w:proofErr w:type="spellEnd"/>
            <w:r w:rsidRPr="00E128EF">
              <w:rPr>
                <w:rFonts w:ascii="Source Sans Pro" w:hAnsi="Source Sans Pro" w:cs="Calibri"/>
                <w:color w:val="000000"/>
                <w:sz w:val="16"/>
                <w:szCs w:val="16"/>
              </w:rPr>
              <w:t xml:space="preserve"> en la nota, por lo que incumple con los Lineamientos Técnicos Generales. Se le requiere cumplir con la información pública.</w:t>
            </w:r>
          </w:p>
        </w:tc>
      </w:tr>
    </w:tbl>
    <w:p w:rsidR="00E128EF" w:rsidRDefault="00E128EF" w:rsidP="000A6A84">
      <w:pPr>
        <w:rPr>
          <w:rFonts w:ascii="Source Sans Pro" w:hAnsi="Source Sans Pro" w:cs="Arial"/>
          <w:sz w:val="18"/>
          <w:szCs w:val="18"/>
        </w:rPr>
      </w:pPr>
    </w:p>
    <w:p w:rsidR="00356C73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 w:rsidR="00356C73">
        <w:rPr>
          <w:rFonts w:ascii="Source Sans Pro" w:hAnsi="Source Sans Pro"/>
          <w:sz w:val="22"/>
          <w:szCs w:val="22"/>
        </w:rPr>
        <w:t xml:space="preserve">Notifíquese al </w:t>
      </w:r>
      <w:r w:rsidR="00356C73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356C73">
        <w:rPr>
          <w:rFonts w:ascii="Source Sans Pro" w:hAnsi="Source Sans Pro"/>
          <w:sz w:val="22"/>
          <w:szCs w:val="22"/>
        </w:rPr>
        <w:t xml:space="preserve"> del Sujeto Obligado, p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 w:rsidR="00356C73">
        <w:rPr>
          <w:rFonts w:ascii="Source Sans Pro" w:hAnsi="Source Sans Pro" w:cs="Arial"/>
          <w:b/>
          <w:sz w:val="22"/>
          <w:szCs w:val="22"/>
        </w:rPr>
        <w:t>diez</w:t>
      </w:r>
      <w:r w:rsidR="00356C73"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="00356C73"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 w:rsidR="00356C73"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="006E586F">
        <w:rPr>
          <w:rFonts w:ascii="Source Sans Pro" w:hAnsi="Source Sans Pro" w:cs="Arial"/>
          <w:sz w:val="22"/>
          <w:szCs w:val="22"/>
        </w:rPr>
        <w:t xml:space="preserve">atienda los requerimientos </w:t>
      </w:r>
      <w:r w:rsidR="00356C73" w:rsidRPr="00E80193">
        <w:rPr>
          <w:rFonts w:ascii="Source Sans Pro" w:hAnsi="Source Sans Pro" w:cs="Arial"/>
          <w:sz w:val="22"/>
          <w:szCs w:val="22"/>
        </w:rPr>
        <w:t>contenidos en la Memoria Técnica de Verificación</w:t>
      </w:r>
      <w:r w:rsidR="00356C73">
        <w:rPr>
          <w:rFonts w:ascii="Source Sans Pro" w:hAnsi="Source Sans Pro" w:cs="Arial"/>
          <w:sz w:val="22"/>
          <w:szCs w:val="22"/>
        </w:rPr>
        <w:t xml:space="preserve"> descritas en el numeral </w:t>
      </w:r>
      <w:r w:rsidR="00356C73" w:rsidRPr="00390111">
        <w:rPr>
          <w:rFonts w:ascii="Source Sans Pro" w:hAnsi="Source Sans Pro" w:cs="Arial"/>
          <w:b/>
          <w:sz w:val="22"/>
          <w:szCs w:val="22"/>
        </w:rPr>
        <w:t>SEGUNDO</w:t>
      </w:r>
      <w:r w:rsidR="00356C73"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 w:rsidR="00356C73">
        <w:rPr>
          <w:rFonts w:ascii="Source Sans Pro" w:hAnsi="Source Sans Pro" w:cs="Arial"/>
          <w:sz w:val="22"/>
          <w:szCs w:val="22"/>
        </w:rPr>
        <w:t xml:space="preserve">fracción II </w:t>
      </w:r>
      <w:r w:rsidR="00356C73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356C73">
        <w:rPr>
          <w:rFonts w:ascii="Source Sans Pro" w:hAnsi="Source Sans Pro" w:cs="Arial"/>
          <w:sz w:val="22"/>
          <w:szCs w:val="22"/>
        </w:rPr>
        <w:t xml:space="preserve"> fracción II </w:t>
      </w:r>
      <w:r w:rsidR="00356C73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 w:rsidR="00D30BA0">
        <w:rPr>
          <w:rFonts w:ascii="Source Sans Pro" w:hAnsi="Source Sans Pro" w:cs="Arial"/>
          <w:sz w:val="22"/>
          <w:szCs w:val="22"/>
        </w:rPr>
        <w:t xml:space="preserve">Pública del Estado de Veracruz; </w:t>
      </w:r>
      <w:r w:rsidR="00356C73">
        <w:rPr>
          <w:rFonts w:ascii="Source Sans Pro" w:hAnsi="Source Sans Pro" w:cs="Arial"/>
          <w:sz w:val="22"/>
          <w:szCs w:val="22"/>
        </w:rPr>
        <w:t xml:space="preserve">16, 18 y 19 </w:t>
      </w:r>
      <w:r w:rsidR="00356C73"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 w:rsidR="00356C73">
        <w:rPr>
          <w:rFonts w:ascii="Source Sans Pro" w:hAnsi="Source Sans Pro" w:cs="Arial"/>
          <w:sz w:val="22"/>
          <w:szCs w:val="22"/>
        </w:rPr>
        <w:t>.</w:t>
      </w:r>
    </w:p>
    <w:p w:rsidR="00272DB6" w:rsidRPr="00E80193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4459FB" w:rsidRPr="004459FB" w:rsidRDefault="003F1F88" w:rsidP="00356C73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>S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e solicita </w:t>
      </w:r>
      <w:r w:rsidR="006E586F">
        <w:rPr>
          <w:rFonts w:ascii="Source Sans Pro" w:hAnsi="Source Sans Pro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>
        <w:rPr>
          <w:rFonts w:ascii="Source Sans Pro" w:hAnsi="Source Sans Pro"/>
          <w:sz w:val="22"/>
          <w:szCs w:val="22"/>
        </w:rPr>
        <w:t xml:space="preserve"> del 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 w:rsidR="006E586F">
        <w:rPr>
          <w:rFonts w:ascii="Source Sans Pro" w:hAnsi="Source Sans Pro" w:cs="Arial"/>
          <w:sz w:val="22"/>
          <w:szCs w:val="22"/>
        </w:rPr>
        <w:t>zo establecido en el punto anterior</w:t>
      </w:r>
      <w:r w:rsidR="006E586F"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 w:rsidR="006E586F">
        <w:rPr>
          <w:rFonts w:ascii="Source Sans Pro" w:hAnsi="Source Sans Pro" w:cs="Arial"/>
          <w:sz w:val="22"/>
          <w:szCs w:val="22"/>
        </w:rPr>
        <w:t>: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="006E586F"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 w:rsidR="006E586F">
        <w:rPr>
          <w:rStyle w:val="Hipervnculo"/>
          <w:rFonts w:ascii="Source Sans Pro" w:hAnsi="Source Sans Pro" w:cs="Arial"/>
          <w:sz w:val="22"/>
          <w:szCs w:val="22"/>
        </w:rPr>
        <w:t>,</w:t>
      </w:r>
      <w:r w:rsidR="006E586F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272DB6" w:rsidRDefault="00272DB6" w:rsidP="000A6A84">
      <w:pPr>
        <w:rPr>
          <w:rFonts w:ascii="Source Sans Pro" w:hAnsi="Source Sans Pro" w:cs="Arial"/>
          <w:sz w:val="22"/>
          <w:szCs w:val="22"/>
        </w:rPr>
      </w:pPr>
    </w:p>
    <w:p w:rsidR="006E586F" w:rsidRPr="00D17888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Se hace del conocimiento </w:t>
      </w:r>
      <w:r w:rsidR="006E586F">
        <w:rPr>
          <w:rFonts w:ascii="Source Sans Pro" w:hAnsi="Source Sans Pro" w:cs="Arial"/>
          <w:sz w:val="22"/>
          <w:szCs w:val="22"/>
        </w:rPr>
        <w:t xml:space="preserve">al </w:t>
      </w:r>
      <w:r w:rsidR="006E586F" w:rsidRPr="007B77D5">
        <w:rPr>
          <w:rFonts w:ascii="Source Sans Pro" w:hAnsi="Source Sans Pro"/>
          <w:sz w:val="22"/>
          <w:szCs w:val="22"/>
        </w:rPr>
        <w:t>Titular de la Unidad de Transparencia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6E586F">
        <w:rPr>
          <w:rFonts w:ascii="Source Sans Pro" w:hAnsi="Source Sans Pro" w:cs="Arial"/>
          <w:sz w:val="22"/>
          <w:szCs w:val="22"/>
        </w:rPr>
        <w:t xml:space="preserve">del Sujeto Obligado </w:t>
      </w:r>
      <w:r w:rsidR="006E586F" w:rsidRPr="00D17888">
        <w:rPr>
          <w:rFonts w:ascii="Source Sans Pro" w:hAnsi="Source Sans Pro" w:cs="Arial"/>
          <w:sz w:val="22"/>
          <w:szCs w:val="22"/>
        </w:rPr>
        <w:t>que, en caso de n</w:t>
      </w:r>
      <w:r w:rsidR="006E586F">
        <w:rPr>
          <w:rFonts w:ascii="Source Sans Pro" w:hAnsi="Source Sans Pro" w:cs="Arial"/>
          <w:sz w:val="22"/>
          <w:szCs w:val="22"/>
        </w:rPr>
        <w:t xml:space="preserve">o solventar los requerimientos, </w:t>
      </w:r>
      <w:r w:rsidR="006E586F" w:rsidRPr="00D17888">
        <w:rPr>
          <w:rFonts w:ascii="Source Sans Pro" w:hAnsi="Source Sans Pro" w:cs="Arial"/>
          <w:sz w:val="22"/>
          <w:szCs w:val="22"/>
        </w:rPr>
        <w:t>se procederá en términos d</w:t>
      </w:r>
      <w:r w:rsidR="006E586F">
        <w:rPr>
          <w:rFonts w:ascii="Source Sans Pro" w:hAnsi="Source Sans Pro" w:cs="Arial"/>
          <w:sz w:val="22"/>
          <w:szCs w:val="22"/>
        </w:rPr>
        <w:t>e lo previsto en el artículo 88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General de Transparencia y Acce</w:t>
      </w:r>
      <w:r w:rsidR="006E586F">
        <w:rPr>
          <w:rFonts w:ascii="Source Sans Pro" w:hAnsi="Source Sans Pro" w:cs="Arial"/>
          <w:sz w:val="22"/>
          <w:szCs w:val="22"/>
        </w:rPr>
        <w:t>so a la Información Pública; 32 penúltimo párrafo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la Ley número 875 de Transparencia y Acceso a la Información </w:t>
      </w:r>
      <w:r w:rsidR="006E586F" w:rsidRPr="00D17888">
        <w:rPr>
          <w:rFonts w:ascii="Source Sans Pro" w:hAnsi="Source Sans Pro" w:cs="Arial"/>
          <w:sz w:val="22"/>
          <w:szCs w:val="22"/>
        </w:rPr>
        <w:lastRenderedPageBreak/>
        <w:t>Públ</w:t>
      </w:r>
      <w:r w:rsidR="006E586F">
        <w:rPr>
          <w:rFonts w:ascii="Source Sans Pro" w:hAnsi="Source Sans Pro" w:cs="Arial"/>
          <w:sz w:val="22"/>
          <w:szCs w:val="22"/>
        </w:rPr>
        <w:t>ica del Estado de Veracruz; 20, 21 y 22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de lo</w:t>
      </w:r>
      <w:r w:rsidR="006E586F">
        <w:rPr>
          <w:rFonts w:ascii="Source Sans Pro" w:hAnsi="Source Sans Pro" w:cs="Arial"/>
          <w:sz w:val="22"/>
          <w:szCs w:val="22"/>
        </w:rPr>
        <w:t>s Lineamientos de Verificación, y se notificaría a su Superior Jerárquico, a efecto de que, den cumplimiento y atención adecuada al presente dictamen. Asimismo, podría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hacerse acreedor a la imposición de una medida de apremio, de conformidad con l</w:t>
      </w:r>
      <w:r w:rsidR="006E586F">
        <w:rPr>
          <w:rFonts w:ascii="Source Sans Pro" w:hAnsi="Source Sans Pro" w:cs="Arial"/>
          <w:sz w:val="22"/>
          <w:szCs w:val="22"/>
        </w:rPr>
        <w:t xml:space="preserve">o señalado en los artículos 198 </w:t>
      </w:r>
      <w:r w:rsidR="006E586F" w:rsidRPr="00D17888">
        <w:rPr>
          <w:rFonts w:ascii="Source Sans Pro" w:hAnsi="Source Sans Pro" w:cs="Arial"/>
          <w:sz w:val="22"/>
          <w:szCs w:val="22"/>
        </w:rPr>
        <w:t>y 201 de la Ley General de Transparencia y Acceso a la Informa</w:t>
      </w:r>
      <w:r w:rsidR="006E586F">
        <w:rPr>
          <w:rFonts w:ascii="Source Sans Pro" w:hAnsi="Source Sans Pro" w:cs="Arial"/>
          <w:sz w:val="22"/>
          <w:szCs w:val="22"/>
        </w:rPr>
        <w:t>ción Pública; con relación a los artículos armonizados 242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 y 252 de la Ley número 875 de Transparencia y Acceso a la Información Pública del Estado de Veracruz.</w:t>
      </w:r>
    </w:p>
    <w:p w:rsidR="006E586F" w:rsidRPr="00D17888" w:rsidRDefault="006E586F" w:rsidP="006E586F">
      <w:pPr>
        <w:rPr>
          <w:rFonts w:ascii="Source Sans Pro" w:hAnsi="Source Sans Pro" w:cs="Arial"/>
          <w:sz w:val="22"/>
          <w:szCs w:val="22"/>
        </w:rPr>
      </w:pPr>
    </w:p>
    <w:p w:rsidR="006E586F" w:rsidRDefault="006E586F" w:rsidP="006E586F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</w:t>
      </w:r>
    </w:p>
    <w:p w:rsidR="00D0786D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8B7E0B" w:rsidRDefault="00272DB6" w:rsidP="006E586F">
      <w:pPr>
        <w:rPr>
          <w:rFonts w:ascii="Source Sans Pro" w:hAnsi="Source Sans Pro" w:cs="Arial"/>
          <w:sz w:val="22"/>
          <w:szCs w:val="22"/>
        </w:rPr>
      </w:pPr>
      <w:r w:rsidRPr="00272DB6">
        <w:rPr>
          <w:rFonts w:ascii="Source Sans Pro" w:hAnsi="Source Sans Pro" w:cs="Arial"/>
          <w:b/>
          <w:sz w:val="22"/>
          <w:szCs w:val="22"/>
        </w:rPr>
        <w:t>SEXTO.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6E586F"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 w:rsidR="006E586F">
        <w:rPr>
          <w:rFonts w:ascii="Source Sans Pro" w:hAnsi="Source Sans Pro" w:cs="Arial"/>
          <w:sz w:val="22"/>
          <w:szCs w:val="22"/>
        </w:rPr>
        <w:t>Sujeto Obligado</w:t>
      </w:r>
      <w:r w:rsidR="006E586F"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D0786D" w:rsidRPr="00D17888" w:rsidRDefault="00D0786D" w:rsidP="000A6A84">
      <w:pPr>
        <w:rPr>
          <w:rFonts w:ascii="Source Sans Pro" w:hAnsi="Source Sans Pro" w:cs="Arial"/>
          <w:sz w:val="22"/>
          <w:szCs w:val="22"/>
        </w:rPr>
      </w:pPr>
    </w:p>
    <w:p w:rsidR="00EC06E0" w:rsidRPr="00946393" w:rsidRDefault="00EC06E0" w:rsidP="00EC06E0">
      <w:pPr>
        <w:rPr>
          <w:rFonts w:ascii="Source Sans Pro" w:hAnsi="Source Sans Pro" w:cs="Arial"/>
          <w:sz w:val="22"/>
          <w:szCs w:val="22"/>
        </w:rPr>
      </w:pPr>
      <w:r w:rsidRPr="00946393">
        <w:rPr>
          <w:rFonts w:ascii="Source Sans Pro" w:hAnsi="Source Sans Pro" w:cs="Arial"/>
          <w:sz w:val="22"/>
          <w:szCs w:val="22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EC06E0" w:rsidRPr="00946393" w:rsidRDefault="00EC06E0" w:rsidP="00EC06E0">
      <w:pPr>
        <w:rPr>
          <w:rFonts w:ascii="Source Sans Pro" w:hAnsi="Source Sans Pro" w:cs="Arial"/>
          <w:sz w:val="22"/>
          <w:szCs w:val="22"/>
        </w:rPr>
      </w:pPr>
    </w:p>
    <w:p w:rsidR="00EC06E0" w:rsidRPr="00946393" w:rsidRDefault="00EC06E0" w:rsidP="00EC06E0">
      <w:pPr>
        <w:rPr>
          <w:rFonts w:ascii="Source Sans Pro" w:hAnsi="Source Sans Pro" w:cs="Arial"/>
          <w:sz w:val="22"/>
          <w:szCs w:val="22"/>
        </w:rPr>
      </w:pPr>
    </w:p>
    <w:p w:rsidR="00EC06E0" w:rsidRPr="00946393" w:rsidRDefault="00EC06E0" w:rsidP="00EC06E0">
      <w:pPr>
        <w:rPr>
          <w:rFonts w:ascii="Source Sans Pro" w:hAnsi="Source Sans Pro" w:cs="Arial"/>
          <w:sz w:val="22"/>
          <w:szCs w:val="22"/>
        </w:rPr>
      </w:pPr>
    </w:p>
    <w:p w:rsidR="00EC06E0" w:rsidRPr="00946393" w:rsidRDefault="00EC06E0" w:rsidP="00EC06E0">
      <w:pPr>
        <w:rPr>
          <w:rFonts w:ascii="Source Sans Pro" w:hAnsi="Source Sans Pro" w:cs="Arial"/>
          <w:sz w:val="22"/>
          <w:szCs w:val="22"/>
        </w:rPr>
      </w:pPr>
      <w:bookmarkStart w:id="0" w:name="_GoBack"/>
      <w:bookmarkEnd w:id="0"/>
    </w:p>
    <w:p w:rsidR="00EC06E0" w:rsidRPr="00946393" w:rsidRDefault="00EC06E0" w:rsidP="00EC06E0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Irma Domínguez Hernández</w:t>
      </w:r>
    </w:p>
    <w:p w:rsidR="00EC06E0" w:rsidRPr="00946393" w:rsidRDefault="00EC06E0" w:rsidP="00EC06E0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 xml:space="preserve">Directora de Capacitación y Vinculación Ciudadana del </w:t>
      </w:r>
    </w:p>
    <w:p w:rsidR="00EC06E0" w:rsidRPr="00946393" w:rsidRDefault="00EC06E0" w:rsidP="00EC06E0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46393">
        <w:rPr>
          <w:rFonts w:ascii="Source Sans Pro" w:hAnsi="Source Sans Pro" w:cs="Arial"/>
          <w:b/>
          <w:sz w:val="22"/>
          <w:szCs w:val="22"/>
        </w:rPr>
        <w:t>Instituto Veracruzano de Acceso a la Información y Protección de Datos Personales</w:t>
      </w:r>
    </w:p>
    <w:p w:rsidR="004C1CD3" w:rsidRPr="00D17888" w:rsidRDefault="004C1CD3" w:rsidP="00EC06E0">
      <w:pPr>
        <w:rPr>
          <w:rFonts w:ascii="Source Sans Pro" w:hAnsi="Source Sans Pro" w:cs="Arial"/>
          <w:b/>
          <w:sz w:val="22"/>
          <w:szCs w:val="22"/>
        </w:rPr>
      </w:pP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407" w:rsidRDefault="00B22407" w:rsidP="006B5F99">
      <w:r>
        <w:separator/>
      </w:r>
    </w:p>
  </w:endnote>
  <w:endnote w:type="continuationSeparator" w:id="0">
    <w:p w:rsidR="00B22407" w:rsidRDefault="00B22407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CB26EF" w:rsidRPr="00697C84" w:rsidRDefault="00CB26EF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EC06E0" w:rsidRPr="00EC06E0">
          <w:rPr>
            <w:rFonts w:ascii="Source Sans Pro" w:hAnsi="Source Sans Pro"/>
            <w:noProof/>
            <w:sz w:val="20"/>
            <w:szCs w:val="20"/>
            <w:lang w:val="es-ES"/>
          </w:rPr>
          <w:t>21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CB26EF" w:rsidRDefault="00CB26E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407" w:rsidRDefault="00B22407" w:rsidP="006B5F99">
      <w:r>
        <w:separator/>
      </w:r>
    </w:p>
  </w:footnote>
  <w:footnote w:type="continuationSeparator" w:id="0">
    <w:p w:rsidR="00B22407" w:rsidRDefault="00B22407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CB26EF" w:rsidRPr="00FF0BED" w:rsidTr="00017603">
      <w:tc>
        <w:tcPr>
          <w:tcW w:w="1896" w:type="dxa"/>
        </w:tcPr>
        <w:p w:rsidR="00CB26EF" w:rsidRPr="00FF0BED" w:rsidRDefault="00CB26EF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CB26EF" w:rsidRPr="00FF0BED" w:rsidRDefault="00CB26EF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OBLIGADO:</w:t>
          </w:r>
          <w:r w:rsidR="00D0786D">
            <w:rPr>
              <w:rFonts w:ascii="Source Sans Pro" w:hAnsi="Source Sans Pro"/>
              <w:b/>
              <w:sz w:val="22"/>
              <w:szCs w:val="22"/>
            </w:rPr>
            <w:t xml:space="preserve"> AY</w:t>
          </w:r>
          <w:r w:rsidR="006848F6">
            <w:rPr>
              <w:rFonts w:ascii="Source Sans Pro" w:hAnsi="Source Sans Pro"/>
              <w:b/>
              <w:sz w:val="22"/>
              <w:szCs w:val="22"/>
            </w:rPr>
            <w:t xml:space="preserve">UNTAMIENTO </w:t>
          </w:r>
          <w:r w:rsidR="00E128EF">
            <w:rPr>
              <w:rFonts w:ascii="Source Sans Pro" w:hAnsi="Source Sans Pro"/>
              <w:b/>
              <w:sz w:val="22"/>
              <w:szCs w:val="22"/>
            </w:rPr>
            <w:t>DE CASTILLO DE TEAYO</w:t>
          </w: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</w:t>
          </w:r>
          <w:r w:rsidR="005E6B3F">
            <w:rPr>
              <w:rFonts w:ascii="Source Sans Pro" w:hAnsi="Source Sans Pro"/>
              <w:b/>
              <w:sz w:val="22"/>
              <w:szCs w:val="22"/>
            </w:rPr>
            <w:t>IFICACIÓN OFICIOSA SIMPLIFICADA</w:t>
          </w: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INCUMPLIMIENTO</w:t>
          </w:r>
        </w:p>
        <w:p w:rsidR="00CB26EF" w:rsidRPr="00FF0BED" w:rsidRDefault="00CB26EF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CB26EF" w:rsidRPr="00FF0BED" w:rsidRDefault="00CB26EF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</w:t>
          </w:r>
          <w:r w:rsidR="00360319">
            <w:rPr>
              <w:rFonts w:ascii="Source Sans Pro" w:hAnsi="Source Sans Pro"/>
              <w:b/>
              <w:sz w:val="22"/>
              <w:szCs w:val="22"/>
            </w:rPr>
            <w:t>VAI/</w:t>
          </w:r>
          <w:r w:rsidR="00E128EF">
            <w:rPr>
              <w:rFonts w:ascii="Source Sans Pro" w:hAnsi="Source Sans Pro"/>
              <w:b/>
              <w:sz w:val="22"/>
              <w:szCs w:val="22"/>
            </w:rPr>
            <w:t>VEOFI-042/044</w:t>
          </w:r>
          <w:r>
            <w:rPr>
              <w:rFonts w:ascii="Source Sans Pro" w:hAnsi="Source Sans Pro"/>
              <w:b/>
              <w:sz w:val="22"/>
              <w:szCs w:val="22"/>
            </w:rPr>
            <w:t>/2022</w:t>
          </w:r>
        </w:p>
      </w:tc>
    </w:tr>
  </w:tbl>
  <w:p w:rsidR="00CB26EF" w:rsidRPr="00FF0BED" w:rsidRDefault="00CB26EF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4BCC"/>
    <w:rsid w:val="00070784"/>
    <w:rsid w:val="000742EB"/>
    <w:rsid w:val="0007669E"/>
    <w:rsid w:val="00092294"/>
    <w:rsid w:val="000A1A88"/>
    <w:rsid w:val="000A5A7E"/>
    <w:rsid w:val="000A6A84"/>
    <w:rsid w:val="000B1A18"/>
    <w:rsid w:val="000B3FCB"/>
    <w:rsid w:val="000C01AD"/>
    <w:rsid w:val="000C5204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2BB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0BD"/>
    <w:rsid w:val="002F7752"/>
    <w:rsid w:val="00312C96"/>
    <w:rsid w:val="003162DF"/>
    <w:rsid w:val="00317116"/>
    <w:rsid w:val="003233C6"/>
    <w:rsid w:val="00324BA2"/>
    <w:rsid w:val="00330259"/>
    <w:rsid w:val="00330EDE"/>
    <w:rsid w:val="003404E9"/>
    <w:rsid w:val="00346AE4"/>
    <w:rsid w:val="00350900"/>
    <w:rsid w:val="00350A54"/>
    <w:rsid w:val="00351898"/>
    <w:rsid w:val="003563C3"/>
    <w:rsid w:val="00356C73"/>
    <w:rsid w:val="00360319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B6A93"/>
    <w:rsid w:val="003C5EB7"/>
    <w:rsid w:val="003C77CA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907"/>
    <w:rsid w:val="00535D4D"/>
    <w:rsid w:val="005476D3"/>
    <w:rsid w:val="00547AD2"/>
    <w:rsid w:val="005664EA"/>
    <w:rsid w:val="0057185B"/>
    <w:rsid w:val="00573B5A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C5F35"/>
    <w:rsid w:val="005D4D87"/>
    <w:rsid w:val="005E0E97"/>
    <w:rsid w:val="005E2A64"/>
    <w:rsid w:val="005E6B3F"/>
    <w:rsid w:val="005F4F4A"/>
    <w:rsid w:val="00621A36"/>
    <w:rsid w:val="00624254"/>
    <w:rsid w:val="00635E47"/>
    <w:rsid w:val="00660B50"/>
    <w:rsid w:val="006759E6"/>
    <w:rsid w:val="006848F6"/>
    <w:rsid w:val="006920E1"/>
    <w:rsid w:val="0069699C"/>
    <w:rsid w:val="00697C84"/>
    <w:rsid w:val="006A7D31"/>
    <w:rsid w:val="006B5F99"/>
    <w:rsid w:val="006C0BA9"/>
    <w:rsid w:val="006E586F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56C60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D7DA5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9396A"/>
    <w:rsid w:val="00895DE2"/>
    <w:rsid w:val="008B0C3F"/>
    <w:rsid w:val="008B19FE"/>
    <w:rsid w:val="008B5504"/>
    <w:rsid w:val="008B7E0B"/>
    <w:rsid w:val="008C1F3C"/>
    <w:rsid w:val="008C595C"/>
    <w:rsid w:val="008D1F76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A70B2"/>
    <w:rsid w:val="009B4C6D"/>
    <w:rsid w:val="009C090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1813"/>
    <w:rsid w:val="00AA3F1B"/>
    <w:rsid w:val="00AA65A8"/>
    <w:rsid w:val="00AC24D0"/>
    <w:rsid w:val="00AC27B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2407"/>
    <w:rsid w:val="00B26187"/>
    <w:rsid w:val="00B300C3"/>
    <w:rsid w:val="00B32A8B"/>
    <w:rsid w:val="00B53855"/>
    <w:rsid w:val="00B602F4"/>
    <w:rsid w:val="00B65CA2"/>
    <w:rsid w:val="00B70F7B"/>
    <w:rsid w:val="00B72749"/>
    <w:rsid w:val="00B853E8"/>
    <w:rsid w:val="00B90D4E"/>
    <w:rsid w:val="00B93CC7"/>
    <w:rsid w:val="00B95487"/>
    <w:rsid w:val="00B97758"/>
    <w:rsid w:val="00BA4411"/>
    <w:rsid w:val="00BA4FB3"/>
    <w:rsid w:val="00BB4A9D"/>
    <w:rsid w:val="00BB7FC9"/>
    <w:rsid w:val="00BD4062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5D0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26EF"/>
    <w:rsid w:val="00CB3BEA"/>
    <w:rsid w:val="00CE3395"/>
    <w:rsid w:val="00D00308"/>
    <w:rsid w:val="00D0123E"/>
    <w:rsid w:val="00D0786D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128EF"/>
    <w:rsid w:val="00E3016C"/>
    <w:rsid w:val="00E324E3"/>
    <w:rsid w:val="00E4197C"/>
    <w:rsid w:val="00E5256B"/>
    <w:rsid w:val="00E544CF"/>
    <w:rsid w:val="00E57010"/>
    <w:rsid w:val="00E60D90"/>
    <w:rsid w:val="00E62A1D"/>
    <w:rsid w:val="00E638F9"/>
    <w:rsid w:val="00E65E42"/>
    <w:rsid w:val="00E80193"/>
    <w:rsid w:val="00E813A0"/>
    <w:rsid w:val="00E95269"/>
    <w:rsid w:val="00EA58A0"/>
    <w:rsid w:val="00EA7FCE"/>
    <w:rsid w:val="00EB07D8"/>
    <w:rsid w:val="00EC06E0"/>
    <w:rsid w:val="00EC523E"/>
    <w:rsid w:val="00ED1753"/>
    <w:rsid w:val="00EE18E1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D3C"/>
    <w:rsid w:val="00FC1EA8"/>
    <w:rsid w:val="00FC5388"/>
    <w:rsid w:val="00FD07E1"/>
    <w:rsid w:val="00FD5216"/>
    <w:rsid w:val="00FD6FAD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24865-FD29-48C1-A5DE-E84479D48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2631</TotalTime>
  <Pages>22</Pages>
  <Words>13728</Words>
  <Characters>75504</Characters>
  <Application>Microsoft Office Word</Application>
  <DocSecurity>0</DocSecurity>
  <Lines>629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76</cp:revision>
  <cp:lastPrinted>2022-03-09T00:37:00Z</cp:lastPrinted>
  <dcterms:created xsi:type="dcterms:W3CDTF">2021-10-21T15:13:00Z</dcterms:created>
  <dcterms:modified xsi:type="dcterms:W3CDTF">2022-06-08T16:45:00Z</dcterms:modified>
</cp:coreProperties>
</file>