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CA3C58">
        <w:rPr>
          <w:rFonts w:ascii="Source Sans Pro" w:hAnsi="Source Sans Pro" w:cs="Arial"/>
          <w:b/>
          <w:sz w:val="22"/>
          <w:szCs w:val="22"/>
        </w:rPr>
        <w:t>diecinueve</w:t>
      </w:r>
      <w:r w:rsidR="00F5375D">
        <w:rPr>
          <w:rFonts w:ascii="Source Sans Pro" w:hAnsi="Source Sans Pro" w:cs="Arial"/>
          <w:b/>
          <w:sz w:val="22"/>
          <w:szCs w:val="22"/>
        </w:rPr>
        <w:t xml:space="preserve"> </w:t>
      </w:r>
      <w:r w:rsidR="004937A0">
        <w:rPr>
          <w:rFonts w:ascii="Source Sans Pro" w:hAnsi="Source Sans Pro" w:cs="Arial"/>
          <w:b/>
          <w:sz w:val="22"/>
          <w:szCs w:val="22"/>
        </w:rPr>
        <w:t>de</w:t>
      </w:r>
      <w:r w:rsidR="00CA3C58">
        <w:rPr>
          <w:rFonts w:ascii="Source Sans Pro" w:hAnsi="Source Sans Pro" w:cs="Arial"/>
          <w:b/>
          <w:sz w:val="22"/>
          <w:szCs w:val="22"/>
        </w:rPr>
        <w:t xml:space="preserve"> agosto</w:t>
      </w:r>
      <w:bookmarkStart w:id="0" w:name="_GoBack"/>
      <w:bookmarkEnd w:id="0"/>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Pr="001710E5">
        <w:rPr>
          <w:rFonts w:ascii="Source Sans Pro" w:hAnsi="Source Sans Pro" w:cs="Arial"/>
          <w:sz w:val="22"/>
          <w:szCs w:val="22"/>
        </w:rPr>
        <w:t xml:space="preserve"> de incumplimiento total 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Ayuntamiento de </w:t>
      </w:r>
      <w:proofErr w:type="spellStart"/>
      <w:r w:rsidR="00F5375D">
        <w:rPr>
          <w:rFonts w:ascii="Source Sans Pro" w:hAnsi="Source Sans Pro" w:cs="Arial"/>
          <w:sz w:val="22"/>
          <w:szCs w:val="22"/>
        </w:rPr>
        <w:t>Tihuatlán</w:t>
      </w:r>
      <w:proofErr w:type="spellEnd"/>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F5375D">
        <w:rPr>
          <w:rFonts w:ascii="Source Sans Pro" w:hAnsi="Source Sans Pro" w:cs="Arial"/>
          <w:b/>
          <w:sz w:val="22"/>
          <w:szCs w:val="22"/>
        </w:rPr>
        <w:t>IVAI/VEOFI-189/061/2022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F5375D">
        <w:rPr>
          <w:rFonts w:ascii="Source Sans Pro" w:hAnsi="Source Sans Pro" w:cs="Arial"/>
          <w:sz w:val="22"/>
          <w:szCs w:val="22"/>
        </w:rPr>
        <w:t xml:space="preserve">uno de junio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F5375D" w:rsidP="00C8328A">
      <w:pPr>
        <w:jc w:val="center"/>
        <w:rPr>
          <w:rFonts w:ascii="Source Sans Pro" w:hAnsi="Source Sans Pro" w:cs="Arial"/>
          <w:sz w:val="22"/>
          <w:szCs w:val="22"/>
        </w:rPr>
      </w:pPr>
      <w:r>
        <w:rPr>
          <w:noProof/>
          <w:lang w:eastAsia="es-MX"/>
        </w:rPr>
        <w:drawing>
          <wp:inline distT="0" distB="0" distL="0" distR="0" wp14:anchorId="6611892B" wp14:editId="473FCE33">
            <wp:extent cx="4133299" cy="1937601"/>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4340" cy="1956840"/>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F5375D" w:rsidP="005B4E9C">
      <w:pPr>
        <w:jc w:val="center"/>
        <w:rPr>
          <w:rFonts w:ascii="Source Sans Pro" w:hAnsi="Source Sans Pro" w:cs="Arial"/>
          <w:sz w:val="22"/>
          <w:szCs w:val="22"/>
        </w:rPr>
      </w:pPr>
      <w:r>
        <w:rPr>
          <w:noProof/>
          <w:lang w:eastAsia="es-MX"/>
        </w:rPr>
        <w:drawing>
          <wp:inline distT="0" distB="0" distL="0" distR="0" wp14:anchorId="61B32E60" wp14:editId="2F2BE5DC">
            <wp:extent cx="4154442" cy="24076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0192" cy="2422526"/>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F5375D" w:rsidP="005B4E9C">
      <w:pPr>
        <w:jc w:val="center"/>
        <w:rPr>
          <w:rFonts w:ascii="Source Sans Pro" w:hAnsi="Source Sans Pro" w:cs="Arial"/>
          <w:sz w:val="22"/>
          <w:szCs w:val="22"/>
        </w:rPr>
      </w:pPr>
      <w:r>
        <w:rPr>
          <w:noProof/>
          <w:lang w:eastAsia="es-MX"/>
        </w:rPr>
        <w:lastRenderedPageBreak/>
        <w:drawing>
          <wp:inline distT="0" distB="0" distL="0" distR="0" wp14:anchorId="2C277593" wp14:editId="7CD9FE9F">
            <wp:extent cx="4217868" cy="24405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7465" cy="2451881"/>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096902">
        <w:rPr>
          <w:rFonts w:ascii="Source Sans Pro" w:hAnsi="Source Sans Pro" w:cs="Arial"/>
          <w:sz w:val="22"/>
          <w:szCs w:val="22"/>
        </w:rPr>
        <w:t xml:space="preserve">uno de junio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lastRenderedPageBreak/>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014A4E" w:rsidRPr="00C8328A">
        <w:rPr>
          <w:rFonts w:ascii="Source Sans Pro" w:hAnsi="Source Sans Pro" w:cs="Arial"/>
          <w:b/>
          <w:sz w:val="22"/>
          <w:szCs w:val="22"/>
        </w:rPr>
        <w:t xml:space="preserve">cero punto cero </w:t>
      </w:r>
      <w:r w:rsidR="00017603" w:rsidRPr="00C8328A">
        <w:rPr>
          <w:rFonts w:ascii="Source Sans Pro" w:hAnsi="Source Sans Pro" w:cs="Arial"/>
          <w:b/>
          <w:sz w:val="22"/>
          <w:szCs w:val="22"/>
        </w:rPr>
        <w:t xml:space="preserve">por ciento </w:t>
      </w:r>
      <w:r w:rsidR="00014A4E" w:rsidRPr="00C8328A">
        <w:rPr>
          <w:rFonts w:ascii="Source Sans Pro" w:hAnsi="Source Sans Pro" w:cs="Arial"/>
          <w:b/>
          <w:sz w:val="22"/>
          <w:szCs w:val="22"/>
        </w:rPr>
        <w:t>0.0</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4E1B11">
        <w:rPr>
          <w:rFonts w:ascii="Source Sans Pro" w:hAnsi="Source Sans Pro" w:cs="Arial"/>
          <w:sz w:val="22"/>
          <w:szCs w:val="22"/>
        </w:rPr>
        <w:t xml:space="preserve">totalmente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3A000B" w:rsidRPr="00223210" w:rsidRDefault="00B97758" w:rsidP="00096902">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400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263"/>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833"/>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Nota. Este criterio se cumple en caso de que sea necesario que el sujeto obligado incluya alguna aclaración relativa a la información publicada </w:t>
            </w:r>
            <w:r w:rsidRPr="00096902">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 Por cada puesto y/o cargo de la estructura se </w:t>
            </w:r>
            <w:proofErr w:type="spellStart"/>
            <w:r w:rsidRPr="00096902">
              <w:rPr>
                <w:rFonts w:ascii="Source Sans Pro" w:hAnsi="Source Sans Pro" w:cs="Calibri"/>
                <w:color w:val="000000"/>
                <w:sz w:val="16"/>
                <w:szCs w:val="16"/>
              </w:rPr>
              <w:t>debera</w:t>
            </w:r>
            <w:proofErr w:type="spellEnd"/>
            <w:r w:rsidRPr="00096902">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096902">
              <w:rPr>
                <w:rFonts w:ascii="Source Sans Pro" w:hAnsi="Source Sans Pro" w:cs="Calibri"/>
                <w:color w:val="000000"/>
                <w:sz w:val="16"/>
                <w:szCs w:val="16"/>
              </w:rPr>
              <w:t>segun</w:t>
            </w:r>
            <w:proofErr w:type="spellEnd"/>
            <w:r w:rsidRPr="00096902">
              <w:rPr>
                <w:rFonts w:ascii="Source Sans Pro" w:hAnsi="Source Sans Pro" w:cs="Calibri"/>
                <w:color w:val="000000"/>
                <w:sz w:val="16"/>
                <w:szCs w:val="16"/>
              </w:rPr>
              <w:t xml:space="preserve"> sea el caso y el fundamento legal (</w:t>
            </w:r>
            <w:proofErr w:type="spellStart"/>
            <w:r w:rsidRPr="00096902">
              <w:rPr>
                <w:rFonts w:ascii="Source Sans Pro" w:hAnsi="Source Sans Pro" w:cs="Calibri"/>
                <w:color w:val="000000"/>
                <w:sz w:val="16"/>
                <w:szCs w:val="16"/>
              </w:rPr>
              <w:t>articulo</w:t>
            </w:r>
            <w:proofErr w:type="spellEnd"/>
            <w:r w:rsidRPr="00096902">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lastRenderedPageBreak/>
              <w:t>Art. 70 - Fracción III. Las facultades de cada Área</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 la norma en la que se establecen sus facultades y el fundamento legal (</w:t>
            </w:r>
            <w:proofErr w:type="spellStart"/>
            <w:r w:rsidRPr="00096902">
              <w:rPr>
                <w:rFonts w:ascii="Source Sans Pro" w:hAnsi="Source Sans Pro" w:cs="Calibri"/>
                <w:color w:val="000000"/>
                <w:sz w:val="16"/>
                <w:szCs w:val="16"/>
              </w:rPr>
              <w:t>articulo</w:t>
            </w:r>
            <w:proofErr w:type="spellEnd"/>
            <w:r w:rsidRPr="00096902">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lastRenderedPageBreak/>
              <w:t>Art. 70 - Fracción IV. Metas y objetivos</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La información publicada se organiza mediante el formato 6, en el que se incluyen todos los campos especificados en </w:t>
            </w:r>
            <w:r w:rsidRPr="00096902">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2194" w:type="dxa"/>
            <w:gridSpan w:val="2"/>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61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Nombre del servidor(a) público(a</w:t>
            </w:r>
            <w:proofErr w:type="gramStart"/>
            <w:r w:rsidRPr="00096902">
              <w:rPr>
                <w:rFonts w:ascii="Source Sans Pro" w:hAnsi="Source Sans Pro" w:cs="Calibri"/>
                <w:color w:val="000000"/>
                <w:sz w:val="16"/>
                <w:szCs w:val="16"/>
              </w:rPr>
              <w:t>)(</w:t>
            </w:r>
            <w:proofErr w:type="gramEnd"/>
            <w:r w:rsidRPr="00096902">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43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 Clave o nivel del puesto (en su caso, de acuerdo con el catálogo que </w:t>
            </w:r>
            <w:r w:rsidRPr="00096902">
              <w:rPr>
                <w:rFonts w:ascii="Source Sans Pro" w:hAnsi="Source Sans Pro" w:cs="Calibri"/>
                <w:color w:val="000000"/>
                <w:sz w:val="16"/>
                <w:szCs w:val="16"/>
              </w:rPr>
              <w:lastRenderedPageBreak/>
              <w:t>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0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096902">
              <w:rPr>
                <w:rFonts w:ascii="Source Sans Pro" w:hAnsi="Source Sans Pro" w:cs="Calibri"/>
                <w:color w:val="000000"/>
                <w:sz w:val="16"/>
                <w:szCs w:val="16"/>
              </w:rPr>
              <w:t>)reciba</w:t>
            </w:r>
            <w:proofErr w:type="gramEnd"/>
            <w:r w:rsidRPr="00096902">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78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81 .</w:t>
            </w:r>
            <w:proofErr w:type="gramEnd"/>
            <w:r w:rsidRPr="00096902">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43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0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65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0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43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16. La información publicada deberá estar actualizada al periodo que corresponde de acuerdo con la Tabla de actualización y </w:t>
            </w:r>
            <w:r w:rsidRPr="00096902">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13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43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263"/>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0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XVI. Relaciones laborales y recursos públicos a  sindicatos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400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0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263"/>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XIX. Los servicios que ofrecen señalando los requisitos para acceder a ellos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12 .</w:t>
            </w:r>
            <w:proofErr w:type="gramEnd"/>
            <w:r w:rsidRPr="00096902">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65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24 .</w:t>
            </w:r>
            <w:proofErr w:type="gramEnd"/>
            <w:r w:rsidRPr="00096902">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25 .</w:t>
            </w:r>
            <w:proofErr w:type="gramEnd"/>
            <w:r w:rsidRPr="00096902">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26 .</w:t>
            </w:r>
            <w:proofErr w:type="gramEnd"/>
            <w:r w:rsidRPr="00096902">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27 .</w:t>
            </w:r>
            <w:proofErr w:type="gramEnd"/>
            <w:r w:rsidRPr="00096902">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36. Hipervínculo al Catálogo Nacional de Regulaciones, Tramites y </w:t>
            </w:r>
            <w:r w:rsidRPr="00096902">
              <w:rPr>
                <w:rFonts w:ascii="Source Sans Pro" w:hAnsi="Source Sans Pro" w:cs="Calibri"/>
                <w:color w:val="000000"/>
                <w:sz w:val="16"/>
                <w:szCs w:val="16"/>
              </w:rPr>
              <w:lastRenderedPageBreak/>
              <w:t>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48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13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30 .</w:t>
            </w:r>
            <w:proofErr w:type="gramEnd"/>
            <w:r w:rsidRPr="00096902">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31 .</w:t>
            </w:r>
            <w:proofErr w:type="gramEnd"/>
            <w:r w:rsidRPr="00096902">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lastRenderedPageBreak/>
              <w:t>Art. 70 - Fracción XXI.  La información financiera sobre el presupuesto asignado, así como los informes del ejercicio trimestral del gasto, en términos de la Ley General de Contabilidad Gubernamental y demás normatividad aplicable</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XXII. La información relativa a la deuda pública, en términos de la normatividad aplicable</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22. Hipervínculo al informe de Cuenta Pública[5] enviado a la SHCP[6]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43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13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096902" w:rsidRPr="00096902" w:rsidRDefault="00096902" w:rsidP="00096902">
            <w:pPr>
              <w:autoSpaceDE w:val="0"/>
              <w:autoSpaceDN w:val="0"/>
              <w:adjustRightInd w:val="0"/>
              <w:rPr>
                <w:rFonts w:ascii="Source Sans Pro" w:hAnsi="Source Sans Pro" w:cs="Calibri"/>
                <w:color w:val="000000"/>
                <w:sz w:val="16"/>
                <w:szCs w:val="16"/>
              </w:rPr>
            </w:pP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13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096902">
              <w:rPr>
                <w:rFonts w:ascii="Source Sans Pro" w:hAnsi="Source Sans Pro" w:cs="Calibri"/>
                <w:color w:val="000000"/>
                <w:sz w:val="16"/>
                <w:szCs w:val="16"/>
              </w:rPr>
              <w:t>fincamiento</w:t>
            </w:r>
            <w:proofErr w:type="spellEnd"/>
            <w:r w:rsidRPr="00096902">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22. El total de </w:t>
            </w:r>
            <w:proofErr w:type="spellStart"/>
            <w:r w:rsidRPr="00096902">
              <w:rPr>
                <w:rFonts w:ascii="Source Sans Pro" w:hAnsi="Source Sans Pro" w:cs="Calibri"/>
                <w:color w:val="000000"/>
                <w:sz w:val="16"/>
                <w:szCs w:val="16"/>
              </w:rPr>
              <w:t>solventaciones</w:t>
            </w:r>
            <w:proofErr w:type="spellEnd"/>
            <w:r w:rsidRPr="00096902">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0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2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096902" w:rsidRPr="00096902" w:rsidRDefault="00096902" w:rsidP="00096902">
            <w:pPr>
              <w:autoSpaceDE w:val="0"/>
              <w:autoSpaceDN w:val="0"/>
              <w:adjustRightInd w:val="0"/>
              <w:rPr>
                <w:rFonts w:ascii="Source Sans Pro" w:hAnsi="Source Sans Pro" w:cs="Calibri"/>
                <w:color w:val="000000"/>
                <w:sz w:val="16"/>
                <w:szCs w:val="16"/>
              </w:rPr>
            </w:pP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263"/>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 Total de </w:t>
            </w:r>
            <w:proofErr w:type="spellStart"/>
            <w:r w:rsidRPr="00096902">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096902">
              <w:rPr>
                <w:rFonts w:ascii="Source Sans Pro" w:hAnsi="Source Sans Pro" w:cs="Calibri"/>
                <w:color w:val="000000"/>
                <w:sz w:val="16"/>
                <w:szCs w:val="16"/>
              </w:rPr>
              <w:t>dictaminación</w:t>
            </w:r>
            <w:proofErr w:type="spellEnd"/>
            <w:r w:rsidRPr="00096902">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XXVI. Personas físicas o morales a quienes se asigne recursos públicos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263"/>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19 .</w:t>
            </w:r>
            <w:proofErr w:type="gramEnd"/>
            <w:r w:rsidRPr="00096902">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XXVII. Concesiones, contratos, convenios, permisos, licencias o autorizaciones otorgados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siguiente:</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1 .</w:t>
            </w:r>
            <w:proofErr w:type="gramEnd"/>
            <w:r w:rsidRPr="00096902">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12 .</w:t>
            </w:r>
            <w:proofErr w:type="gramEnd"/>
            <w:r w:rsidRPr="00096902">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13 .</w:t>
            </w:r>
            <w:proofErr w:type="gramEnd"/>
            <w:r w:rsidRPr="00096902">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14 .</w:t>
            </w:r>
            <w:proofErr w:type="gramEnd"/>
            <w:r w:rsidRPr="00096902">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15 .</w:t>
            </w:r>
            <w:proofErr w:type="gramEnd"/>
            <w:r w:rsidRPr="00096902">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65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64. Hipervínculo al acta de recepción física de los trabajos ejecutados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65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86. Fecha de inicio de la vigencia del contrato, </w:t>
            </w:r>
            <w:r w:rsidRPr="00096902">
              <w:rPr>
                <w:rFonts w:ascii="Source Sans Pro" w:hAnsi="Source Sans Pro" w:cs="Calibri"/>
                <w:color w:val="000000"/>
                <w:sz w:val="16"/>
                <w:szCs w:val="16"/>
              </w:rPr>
              <w:lastRenderedPageBreak/>
              <w:t>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95 .</w:t>
            </w:r>
            <w:proofErr w:type="gramEnd"/>
            <w:r w:rsidRPr="00096902">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99 .</w:t>
            </w:r>
            <w:proofErr w:type="gramEnd"/>
            <w:r w:rsidRPr="00096902">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115. Hipervínculo al acta de recepción física de los trabajos ejecutados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2194" w:type="dxa"/>
            <w:gridSpan w:val="2"/>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096902">
              <w:rPr>
                <w:rFonts w:ascii="Source Sans Pro" w:hAnsi="Source Sans Pro" w:cs="Calibri"/>
                <w:color w:val="000000"/>
                <w:sz w:val="16"/>
                <w:szCs w:val="16"/>
              </w:rPr>
              <w:t>tetramestral</w:t>
            </w:r>
            <w:proofErr w:type="spellEnd"/>
            <w:r w:rsidRPr="00096902">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XXXI. Informe de avances programáticos o presupuestales, balances generales y su estado financiero</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61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 Registro Federal de Contribuyentes (RFC) de la persona física o moral con </w:t>
            </w:r>
            <w:proofErr w:type="spellStart"/>
            <w:r w:rsidRPr="00096902">
              <w:rPr>
                <w:rFonts w:ascii="Source Sans Pro" w:hAnsi="Source Sans Pro" w:cs="Calibri"/>
                <w:color w:val="000000"/>
                <w:sz w:val="16"/>
                <w:szCs w:val="16"/>
              </w:rPr>
              <w:t>homoclave</w:t>
            </w:r>
            <w:proofErr w:type="spellEnd"/>
            <w:r w:rsidRPr="00096902">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48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43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0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XXXIV. El inventario de bienes muebles e inmuebles en posesión y propiedad</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9 .</w:t>
            </w:r>
            <w:proofErr w:type="gramEnd"/>
            <w:r w:rsidRPr="0009690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16 .</w:t>
            </w:r>
            <w:proofErr w:type="gramEnd"/>
            <w:r w:rsidRPr="0009690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13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35. Hipervínculo al Sistema de Información Inmobiliaria Federal y Paraestatal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44 .</w:t>
            </w:r>
            <w:proofErr w:type="gramEnd"/>
            <w:r w:rsidRPr="0009690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78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XXXV. Recomendaciones  y su atención en materia de derechos humanos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438"/>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61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w:t>
            </w:r>
            <w:proofErr w:type="gramStart"/>
            <w:r w:rsidRPr="00096902">
              <w:rPr>
                <w:rFonts w:ascii="Source Sans Pro" w:hAnsi="Source Sans Pro" w:cs="Calibri"/>
                <w:color w:val="000000"/>
                <w:sz w:val="16"/>
                <w:szCs w:val="16"/>
              </w:rPr>
              <w:t>34 .</w:t>
            </w:r>
            <w:proofErr w:type="gramEnd"/>
            <w:r w:rsidRPr="00096902">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792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Órgano emisor de conformidad con el siguiente (catálogo):</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Sistema Universal de Derechos Humanos</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Sistema Interamericano de Derechos Humanos</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Sistema de casos y peticiones: Comisión Interamericana de Derechos Humanos/Corte Interamericana de Derechos Humanos</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Otros mecanismos</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096902">
              <w:rPr>
                <w:rFonts w:ascii="Source Sans Pro" w:hAnsi="Source Sans Pro" w:cs="Calibri"/>
                <w:color w:val="000000"/>
                <w:sz w:val="16"/>
                <w:szCs w:val="16"/>
              </w:rPr>
              <w:t>Gays</w:t>
            </w:r>
            <w:proofErr w:type="spellEnd"/>
            <w:r w:rsidRPr="00096902">
              <w:rPr>
                <w:rFonts w:ascii="Source Sans Pro" w:hAnsi="Source Sans Pro" w:cs="Calibri"/>
                <w:color w:val="000000"/>
                <w:sz w:val="16"/>
                <w:szCs w:val="16"/>
              </w:rPr>
              <w:t xml:space="preserve">, Bisexuales, </w:t>
            </w:r>
            <w:proofErr w:type="spellStart"/>
            <w:r w:rsidRPr="00096902">
              <w:rPr>
                <w:rFonts w:ascii="Source Sans Pro" w:hAnsi="Source Sans Pro" w:cs="Calibri"/>
                <w:color w:val="000000"/>
                <w:sz w:val="16"/>
                <w:szCs w:val="16"/>
              </w:rPr>
              <w:t>Trans</w:t>
            </w:r>
            <w:proofErr w:type="spellEnd"/>
            <w:r w:rsidRPr="00096902">
              <w:rPr>
                <w:rFonts w:ascii="Source Sans Pro" w:hAnsi="Source Sans Pro" w:cs="Calibri"/>
                <w:color w:val="000000"/>
                <w:sz w:val="16"/>
                <w:szCs w:val="16"/>
              </w:rPr>
              <w:t xml:space="preserve"> e </w:t>
            </w:r>
            <w:proofErr w:type="spellStart"/>
            <w:r w:rsidRPr="00096902">
              <w:rPr>
                <w:rFonts w:ascii="Source Sans Pro" w:hAnsi="Source Sans Pro" w:cs="Calibri"/>
                <w:color w:val="000000"/>
                <w:sz w:val="16"/>
                <w:szCs w:val="16"/>
              </w:rPr>
              <w:t>Intersex</w:t>
            </w:r>
            <w:proofErr w:type="spellEnd"/>
            <w:r w:rsidRPr="00096902">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6. Alcances del mecanismo de participación </w:t>
            </w:r>
            <w:proofErr w:type="gramStart"/>
            <w:r w:rsidRPr="00096902">
              <w:rPr>
                <w:rFonts w:ascii="Source Sans Pro" w:hAnsi="Source Sans Pro" w:cs="Calibri"/>
                <w:color w:val="000000"/>
                <w:sz w:val="16"/>
                <w:szCs w:val="16"/>
              </w:rPr>
              <w:t>ciudadana .</w:t>
            </w:r>
            <w:proofErr w:type="gramEnd"/>
            <w:r w:rsidRPr="00096902">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3065" w:type="dxa"/>
            <w:gridSpan w:val="3"/>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13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37. Hipervínculo </w:t>
            </w:r>
            <w:proofErr w:type="gramStart"/>
            <w:r w:rsidRPr="00096902">
              <w:rPr>
                <w:rFonts w:ascii="Source Sans Pro" w:hAnsi="Source Sans Pro" w:cs="Calibri"/>
                <w:color w:val="000000"/>
                <w:sz w:val="16"/>
                <w:szCs w:val="16"/>
              </w:rPr>
              <w:t>a los formato(s) específico(s</w:t>
            </w:r>
            <w:proofErr w:type="gramEnd"/>
            <w:r w:rsidRPr="00096902">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13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XL. Evaluaciones y encuestas a programas financiados con recursos públicos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19. La información publicada se organiza mediante los formatos 40a y 40b, en los que se incluyen todos los campos especificados en los </w:t>
            </w:r>
            <w:r w:rsidRPr="00096902">
              <w:rPr>
                <w:rFonts w:ascii="Source Sans Pro" w:hAnsi="Source Sans Pro" w:cs="Calibri"/>
                <w:color w:val="000000"/>
                <w:sz w:val="16"/>
                <w:szCs w:val="16"/>
              </w:rPr>
              <w:lastRenderedPageBreak/>
              <w:t>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78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7. </w:t>
            </w:r>
            <w:proofErr w:type="gramStart"/>
            <w:r w:rsidRPr="00096902">
              <w:rPr>
                <w:rFonts w:ascii="Source Sans Pro" w:hAnsi="Source Sans Pro" w:cs="Calibri"/>
                <w:color w:val="000000"/>
                <w:sz w:val="16"/>
                <w:szCs w:val="16"/>
              </w:rPr>
              <w:t>ISBN[</w:t>
            </w:r>
            <w:proofErr w:type="gramEnd"/>
            <w:r w:rsidRPr="00096902">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w:t>
            </w:r>
            <w:r w:rsidRPr="00096902">
              <w:rPr>
                <w:rFonts w:ascii="Source Sans Pro" w:hAnsi="Source Sans Pro" w:cs="Calibri"/>
                <w:color w:val="000000"/>
                <w:sz w:val="16"/>
                <w:szCs w:val="16"/>
              </w:rPr>
              <w:lastRenderedPageBreak/>
              <w:t xml:space="preserve">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61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61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XLV. El catálogo de disposición y guía de archivo documental;</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91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bl>
    <w:p w:rsidR="005B4E9C" w:rsidRPr="00C8328A" w:rsidRDefault="005B4E9C"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proofErr w:type="spellStart"/>
      <w:r w:rsidRPr="00223210">
        <w:rPr>
          <w:rFonts w:ascii="Source Sans Pro" w:hAnsi="Source Sans Pro" w:cs="Arial"/>
          <w:b/>
          <w:sz w:val="18"/>
          <w:szCs w:val="18"/>
        </w:rPr>
        <w:t>úmero</w:t>
      </w:r>
      <w:proofErr w:type="spellEnd"/>
      <w:r w:rsidRPr="00223210">
        <w:rPr>
          <w:rFonts w:ascii="Source Sans Pro" w:hAnsi="Source Sans Pro" w:cs="Arial"/>
          <w:b/>
          <w:sz w:val="18"/>
          <w:szCs w:val="18"/>
        </w:rPr>
        <w:t xml:space="preserve">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452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6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61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61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096902">
              <w:rPr>
                <w:rFonts w:ascii="Source Sans Pro" w:hAnsi="Source Sans Pro" w:cs="Calibri"/>
                <w:color w:val="000000"/>
                <w:sz w:val="16"/>
                <w:szCs w:val="16"/>
              </w:rPr>
              <w:t>u</w:t>
            </w:r>
            <w:proofErr w:type="spellEnd"/>
            <w:r w:rsidRPr="00096902">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lastRenderedPageBreak/>
              <w:t>Art. 15 - Fracción XLVIII. Las enajenaciones y otros actos jurídicos relacionados con bienes públicos, indicando los motivos, beneficiarios o adquirientes, así como los montos de las operaciones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Motivos que lo justifican (</w:t>
            </w:r>
            <w:proofErr w:type="spellStart"/>
            <w:r w:rsidRPr="00096902">
              <w:rPr>
                <w:rFonts w:ascii="Source Sans Pro" w:hAnsi="Source Sans Pro" w:cs="Calibri"/>
                <w:color w:val="000000"/>
                <w:sz w:val="16"/>
                <w:szCs w:val="16"/>
              </w:rPr>
              <w:t>ej</w:t>
            </w:r>
            <w:proofErr w:type="spellEnd"/>
            <w:r w:rsidRPr="00096902">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w:t>
            </w:r>
            <w:r w:rsidRPr="00096902">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Área(s) o unidad(es) administrativa(s) que genera(n) o posee(n) la información respectiva y </w:t>
            </w:r>
            <w:r w:rsidRPr="00096902">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semestre en términos de los Lineamientos Técnicos Generales. Se le requiere al sujeto obligado cumplir con la carga de información pública.</w:t>
            </w:r>
          </w:p>
        </w:tc>
      </w:tr>
      <w:tr w:rsidR="00096902" w:rsidRPr="00096902" w:rsidTr="00096902">
        <w:trPr>
          <w:trHeight w:val="290"/>
        </w:trPr>
        <w:tc>
          <w:tcPr>
            <w:tcW w:w="4283" w:type="dxa"/>
            <w:gridSpan w:val="4"/>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8. Fecha de actualización de la información publicada con </w:t>
            </w:r>
            <w:r w:rsidRPr="00096902">
              <w:rPr>
                <w:rFonts w:ascii="Source Sans Pro" w:hAnsi="Source Sans Pro" w:cs="Calibri"/>
                <w:color w:val="000000"/>
                <w:sz w:val="16"/>
                <w:szCs w:val="16"/>
              </w:rPr>
              <w:lastRenderedPageBreak/>
              <w:t>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B. Los objetivos, metas y acciones contenidas en sus programas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C. La Ley de Ingresos y el presupuesto de egresos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74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331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10. La información publicada deberá estar actualizada al período que corresponde de acuerdo con la Tabla de actualización y </w:t>
            </w:r>
            <w:r w:rsidRPr="00096902">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J. Las cantidades recibidas por concepto de multas, así como el uso o aplicación que se les dé</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K. El calendario con las actividades culturales, deportivas y recreativas, a realizar; y</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 Inciso L. El calendario con horario, número de unidad y teléfonos de servicio de recolección de basura</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B. Los criterios y un informe anual de evaluación del desempeño policial</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3485"/>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11. Conservar en el sitio de Internet la información vigente y del ejercicio en curso, de acuerdo con la Tabla de actualización y </w:t>
            </w:r>
            <w:r w:rsidRPr="00096902">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567"/>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096902">
              <w:rPr>
                <w:rFonts w:ascii="Source Sans Pro" w:hAnsi="Source Sans Pro" w:cs="Calibri"/>
                <w:color w:val="000000"/>
                <w:sz w:val="16"/>
                <w:szCs w:val="16"/>
              </w:rPr>
              <w:t>la</w:t>
            </w:r>
            <w:proofErr w:type="spellEnd"/>
            <w:r w:rsidRPr="00096902">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H. El programa de capacitación permanente</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290"/>
        </w:trPr>
        <w:tc>
          <w:tcPr>
            <w:tcW w:w="9094" w:type="dxa"/>
            <w:gridSpan w:val="5"/>
            <w:tcBorders>
              <w:top w:val="nil"/>
              <w:left w:val="nil"/>
              <w:bottom w:val="single" w:sz="6" w:space="0" w:color="auto"/>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r w:rsidRPr="00096902">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096902" w:rsidRPr="00096902" w:rsidTr="00096902">
        <w:trPr>
          <w:trHeight w:val="290"/>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w:t>
            </w:r>
          </w:p>
        </w:tc>
        <w:tc>
          <w:tcPr>
            <w:tcW w:w="87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Valoración</w:t>
            </w:r>
          </w:p>
        </w:tc>
        <w:tc>
          <w:tcPr>
            <w:tcW w:w="1218"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Tipo</w:t>
            </w:r>
          </w:p>
        </w:tc>
        <w:tc>
          <w:tcPr>
            <w:tcW w:w="4811" w:type="dxa"/>
            <w:tcBorders>
              <w:top w:val="nil"/>
              <w:left w:val="nil"/>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Observaciones, Recomendaciones y/o Requerimientos</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696"/>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044"/>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87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392"/>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1219"/>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96902" w:rsidRPr="00096902" w:rsidTr="00096902">
        <w:trPr>
          <w:trHeight w:val="521"/>
        </w:trPr>
        <w:tc>
          <w:tcPr>
            <w:tcW w:w="194" w:type="dxa"/>
            <w:tcBorders>
              <w:top w:val="nil"/>
              <w:left w:val="single" w:sz="6" w:space="0" w:color="FFFFFF"/>
              <w:bottom w:val="nil"/>
              <w:right w:val="nil"/>
            </w:tcBorders>
          </w:tcPr>
          <w:p w:rsidR="00096902" w:rsidRPr="00096902" w:rsidRDefault="00096902" w:rsidP="0009690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96902" w:rsidRPr="00096902" w:rsidRDefault="00096902" w:rsidP="00096902">
            <w:pPr>
              <w:autoSpaceDE w:val="0"/>
              <w:autoSpaceDN w:val="0"/>
              <w:adjustRightInd w:val="0"/>
              <w:rPr>
                <w:rFonts w:ascii="Source Sans Pro" w:hAnsi="Source Sans Pro" w:cs="Calibri"/>
                <w:color w:val="000000"/>
                <w:sz w:val="16"/>
                <w:szCs w:val="16"/>
              </w:rPr>
            </w:pPr>
            <w:r w:rsidRPr="0009690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B4E9C" w:rsidRPr="00C8328A" w:rsidRDefault="005B4E9C"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223210" w:rsidRPr="00C8328A">
        <w:rPr>
          <w:rFonts w:ascii="Source Sans Pro" w:hAnsi="Source Sans Pro" w:cs="Arial"/>
          <w:sz w:val="22"/>
          <w:szCs w:val="22"/>
        </w:rPr>
        <w:t>de</w:t>
      </w:r>
      <w:r w:rsidR="00096902">
        <w:rPr>
          <w:rFonts w:ascii="Source Sans Pro" w:hAnsi="Source Sans Pro" w:cs="Arial"/>
          <w:sz w:val="22"/>
          <w:szCs w:val="22"/>
        </w:rPr>
        <w:t xml:space="preserve">l Ayuntamiento de </w:t>
      </w:r>
      <w:proofErr w:type="spellStart"/>
      <w:r w:rsidR="00096902">
        <w:rPr>
          <w:rFonts w:ascii="Source Sans Pro" w:hAnsi="Source Sans Pro" w:cs="Arial"/>
          <w:sz w:val="22"/>
          <w:szCs w:val="22"/>
        </w:rPr>
        <w:t>Tihuatlán</w:t>
      </w:r>
      <w:proofErr w:type="spellEnd"/>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Ayuntamiento de </w:t>
      </w:r>
      <w:proofErr w:type="spellStart"/>
      <w:r w:rsidR="00096902">
        <w:rPr>
          <w:rFonts w:ascii="Source Sans Pro" w:hAnsi="Source Sans Pro" w:cs="Arial"/>
          <w:sz w:val="22"/>
          <w:szCs w:val="22"/>
        </w:rPr>
        <w:t>Tihuatlán</w:t>
      </w:r>
      <w:proofErr w:type="spellEnd"/>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del responsable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Ayuntamiento de </w:t>
      </w:r>
      <w:proofErr w:type="spellStart"/>
      <w:r w:rsidR="00096902">
        <w:rPr>
          <w:rFonts w:ascii="Source Sans Pro" w:hAnsi="Source Sans Pro" w:cs="Arial"/>
          <w:sz w:val="22"/>
          <w:szCs w:val="22"/>
        </w:rPr>
        <w:t>Tihuatlán</w:t>
      </w:r>
      <w:proofErr w:type="spellEnd"/>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lastRenderedPageBreak/>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096902">
        <w:rPr>
          <w:rFonts w:ascii="Source Sans Pro" w:hAnsi="Source Sans Pro" w:cs="Arial"/>
          <w:sz w:val="22"/>
          <w:szCs w:val="22"/>
        </w:rPr>
        <w:t xml:space="preserve">l Ayuntamiento de </w:t>
      </w:r>
      <w:proofErr w:type="spellStart"/>
      <w:r w:rsidR="00096902">
        <w:rPr>
          <w:rFonts w:ascii="Source Sans Pro" w:hAnsi="Source Sans Pro" w:cs="Arial"/>
          <w:sz w:val="22"/>
          <w:szCs w:val="22"/>
        </w:rPr>
        <w:t>Tihuatlán</w:t>
      </w:r>
      <w:proofErr w:type="spellEnd"/>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088" w:rsidRDefault="00970088" w:rsidP="006B5F99">
      <w:r>
        <w:separator/>
      </w:r>
    </w:p>
  </w:endnote>
  <w:endnote w:type="continuationSeparator" w:id="0">
    <w:p w:rsidR="00970088" w:rsidRDefault="0097008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2B3B4D" w:rsidRDefault="002B3B4D">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2B3B4D" w:rsidRPr="004937A0" w:rsidRDefault="002B3B4D"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2B3B4D" w:rsidRPr="004937A0" w:rsidRDefault="002B3B4D">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CA3C58" w:rsidRPr="00CA3C58">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B4D" w:rsidRPr="004937A0" w:rsidRDefault="002B3B4D"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088" w:rsidRDefault="00970088" w:rsidP="006B5F99">
      <w:r>
        <w:separator/>
      </w:r>
    </w:p>
  </w:footnote>
  <w:footnote w:type="continuationSeparator" w:id="0">
    <w:p w:rsidR="00970088" w:rsidRDefault="00970088"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B4D" w:rsidRDefault="002B3B4D"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B4D" w:rsidRDefault="002B3B4D" w:rsidP="004937A0">
    <w:pPr>
      <w:pStyle w:val="Encabezado"/>
      <w:jc w:val="right"/>
      <w:rPr>
        <w:rFonts w:ascii="Source Sans Pro" w:hAnsi="Source Sans Pro"/>
        <w:b/>
        <w:sz w:val="22"/>
        <w:szCs w:val="22"/>
      </w:rPr>
    </w:pPr>
  </w:p>
  <w:p w:rsidR="002B3B4D" w:rsidRDefault="002B3B4D" w:rsidP="004937A0">
    <w:pPr>
      <w:pStyle w:val="Encabezado"/>
      <w:jc w:val="right"/>
      <w:rPr>
        <w:rFonts w:ascii="Source Sans Pro" w:hAnsi="Source Sans Pro"/>
        <w:b/>
        <w:sz w:val="22"/>
        <w:szCs w:val="22"/>
      </w:rPr>
    </w:pPr>
    <w:r>
      <w:rPr>
        <w:rFonts w:ascii="Source Sans Pro" w:hAnsi="Source Sans Pro"/>
        <w:b/>
        <w:sz w:val="22"/>
        <w:szCs w:val="22"/>
      </w:rPr>
      <w:t>EXPEDIENTE: IVAI/VEOFI-189/061/2022</w:t>
    </w:r>
  </w:p>
  <w:p w:rsidR="002B3B4D" w:rsidRDefault="002B3B4D" w:rsidP="004937A0">
    <w:pPr>
      <w:pStyle w:val="Encabezado"/>
      <w:jc w:val="right"/>
      <w:rPr>
        <w:rFonts w:ascii="Source Sans Pro" w:hAnsi="Source Sans Pro"/>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2B3B4D" w:rsidRPr="00FF0BED" w:rsidTr="007C529A">
      <w:tc>
        <w:tcPr>
          <w:tcW w:w="1896" w:type="dxa"/>
        </w:tcPr>
        <w:p w:rsidR="002B3B4D" w:rsidRPr="00FF0BED" w:rsidRDefault="002B3B4D"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2B3B4D" w:rsidRPr="00FF0BED" w:rsidRDefault="002B3B4D" w:rsidP="004937A0">
          <w:pPr>
            <w:pStyle w:val="Encabezado"/>
            <w:jc w:val="center"/>
            <w:rPr>
              <w:rFonts w:ascii="Source Sans Pro" w:hAnsi="Source Sans Pro"/>
              <w:b/>
              <w:sz w:val="22"/>
              <w:szCs w:val="22"/>
            </w:rPr>
          </w:pPr>
        </w:p>
      </w:tc>
      <w:tc>
        <w:tcPr>
          <w:tcW w:w="5678" w:type="dxa"/>
        </w:tcPr>
        <w:p w:rsidR="002B3B4D" w:rsidRDefault="002B3B4D"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2B3B4D" w:rsidRPr="00FF0BED" w:rsidRDefault="002B3B4D" w:rsidP="004937A0">
          <w:pPr>
            <w:pStyle w:val="Encabezado"/>
            <w:rPr>
              <w:rFonts w:ascii="Source Sans Pro" w:hAnsi="Source Sans Pro"/>
              <w:b/>
              <w:sz w:val="22"/>
              <w:szCs w:val="22"/>
            </w:rPr>
          </w:pPr>
        </w:p>
        <w:p w:rsidR="002B3B4D" w:rsidRPr="00FF0BED" w:rsidRDefault="002B3B4D" w:rsidP="004937A0">
          <w:pPr>
            <w:pStyle w:val="Encabezado"/>
            <w:rPr>
              <w:rFonts w:ascii="Source Sans Pro" w:hAnsi="Source Sans Pro"/>
              <w:b/>
              <w:sz w:val="22"/>
              <w:szCs w:val="22"/>
            </w:rPr>
          </w:pPr>
          <w:r>
            <w:rPr>
              <w:rFonts w:ascii="Source Sans Pro" w:hAnsi="Source Sans Pro"/>
              <w:b/>
              <w:sz w:val="22"/>
              <w:szCs w:val="22"/>
            </w:rPr>
            <w:t>DICTAMEN DE INCUMPLIMIENTO TOTAL</w:t>
          </w:r>
        </w:p>
        <w:p w:rsidR="002B3B4D" w:rsidRDefault="002B3B4D"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2B3B4D" w:rsidRDefault="002B3B4D"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b/>
              <w:sz w:val="22"/>
              <w:szCs w:val="22"/>
            </w:rPr>
            <w:t>AYUNTAMIENTO DE TIHUATLÁN</w:t>
          </w:r>
        </w:p>
        <w:p w:rsidR="002B3B4D" w:rsidRPr="00FF0BED" w:rsidRDefault="002B3B4D" w:rsidP="004937A0">
          <w:pPr>
            <w:pStyle w:val="Encabezado"/>
            <w:rPr>
              <w:rFonts w:ascii="Source Sans Pro" w:hAnsi="Source Sans Pro"/>
              <w:b/>
              <w:sz w:val="22"/>
              <w:szCs w:val="22"/>
            </w:rPr>
          </w:pPr>
        </w:p>
        <w:p w:rsidR="002B3B4D" w:rsidRPr="00FF0BED" w:rsidRDefault="002B3B4D" w:rsidP="004937A0">
          <w:pPr>
            <w:pStyle w:val="Encabezado"/>
            <w:rPr>
              <w:rFonts w:ascii="Source Sans Pro" w:hAnsi="Source Sans Pro"/>
              <w:b/>
              <w:sz w:val="22"/>
              <w:szCs w:val="22"/>
            </w:rPr>
          </w:pPr>
          <w:r>
            <w:rPr>
              <w:rFonts w:ascii="Source Sans Pro" w:hAnsi="Source Sans Pro"/>
              <w:b/>
              <w:sz w:val="22"/>
              <w:szCs w:val="22"/>
            </w:rPr>
            <w:t>EXPEDIENTE: IVAI/VEOFI-189/061/2022</w:t>
          </w:r>
        </w:p>
      </w:tc>
    </w:tr>
  </w:tbl>
  <w:p w:rsidR="002B3B4D" w:rsidRDefault="002B3B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4F6F"/>
    <w:rsid w:val="0014704B"/>
    <w:rsid w:val="001634D1"/>
    <w:rsid w:val="001710E5"/>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3B4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0088"/>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3C5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4294"/>
    <w:rsid w:val="00DC2242"/>
    <w:rsid w:val="00DC6457"/>
    <w:rsid w:val="00DD2F52"/>
    <w:rsid w:val="00DD4A18"/>
    <w:rsid w:val="00DD5EEB"/>
    <w:rsid w:val="00DE7FEC"/>
    <w:rsid w:val="00DF1D3D"/>
    <w:rsid w:val="00DF488B"/>
    <w:rsid w:val="00E03CB2"/>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DD0E2-871B-4DF9-9AEA-A557B4F99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2419</TotalTime>
  <Pages>147</Pages>
  <Words>107144</Words>
  <Characters>589297</Characters>
  <Application>Microsoft Office Word</Application>
  <DocSecurity>0</DocSecurity>
  <Lines>4910</Lines>
  <Paragraphs>1390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69</cp:revision>
  <cp:lastPrinted>2022-07-06T16:01:00Z</cp:lastPrinted>
  <dcterms:created xsi:type="dcterms:W3CDTF">2021-10-21T15:13:00Z</dcterms:created>
  <dcterms:modified xsi:type="dcterms:W3CDTF">2022-08-22T21:27:00Z</dcterms:modified>
</cp:coreProperties>
</file>