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CD6D" w14:textId="748BCAF8" w:rsidR="00581B4A" w:rsidRDefault="00581B4A" w:rsidP="00AE10BD">
      <w:pPr>
        <w:pStyle w:val="Sinespaciado"/>
      </w:pPr>
    </w:p>
    <w:p w14:paraId="685FC539" w14:textId="0A54A7CA" w:rsidR="7F9E26C7" w:rsidRPr="00AE10BD" w:rsidRDefault="00F5237E" w:rsidP="00AE10BD">
      <w:pPr>
        <w:pStyle w:val="Sinespaciado"/>
        <w:spacing w:line="276" w:lineRule="auto"/>
        <w:jc w:val="both"/>
        <w:rPr>
          <w:rFonts w:ascii="Arial" w:hAnsi="Arial" w:cs="Arial"/>
          <w:sz w:val="24"/>
          <w:szCs w:val="24"/>
        </w:rPr>
      </w:pPr>
      <w:bookmarkStart w:id="0" w:name="_GoBack"/>
      <w:r w:rsidRPr="00F5237E">
        <w:rPr>
          <w:rFonts w:ascii="Arial" w:hAnsi="Arial" w:cs="Arial"/>
          <w:b/>
          <w:bCs/>
          <w:sz w:val="24"/>
          <w:szCs w:val="24"/>
        </w:rPr>
        <w:t>Procedimiento de Protección de Derechos. Calidades específicas atribuibles a las partes.</w:t>
      </w:r>
      <w:r w:rsidRPr="00F5237E">
        <w:rPr>
          <w:rFonts w:ascii="Arial" w:hAnsi="Arial" w:cs="Arial"/>
          <w:sz w:val="24"/>
          <w:szCs w:val="24"/>
        </w:rPr>
        <w:t xml:space="preserve"> </w:t>
      </w:r>
      <w:bookmarkEnd w:id="0"/>
      <w:r w:rsidRPr="00F5237E">
        <w:rPr>
          <w:rFonts w:ascii="Arial" w:hAnsi="Arial" w:cs="Arial"/>
          <w:sz w:val="24"/>
          <w:szCs w:val="24"/>
        </w:rPr>
        <w:t xml:space="preserve">Toda </w:t>
      </w:r>
      <w:r w:rsidRPr="00AE10BD">
        <w:rPr>
          <w:rFonts w:ascii="Arial" w:hAnsi="Arial" w:cs="Arial"/>
          <w:sz w:val="24"/>
          <w:szCs w:val="24"/>
        </w:rPr>
        <w:t>vez que es un procedimiento administrativo llevado en forma de juicio, en el mismo las partes deben tener una calidad específica, es decir la persona física tiene que ser titular de los datos personales los cuales deben de contar con rasgos, características o elementos que la identifiquen o la hagan identificable y, por otro lado, la persona física o moral que sea responsable del tratamiento de los datos personales, la cual debe tener un nivel de decisión sobre cualquier acceso, uso, manejo, aprovechamiento o transferencia o disposición de los datos personales de la persona titular.</w:t>
      </w:r>
    </w:p>
    <w:p w14:paraId="32F0DEC8" w14:textId="77777777" w:rsidR="001C4D16" w:rsidRPr="00AE10BD" w:rsidRDefault="001C4D16" w:rsidP="001C4D16">
      <w:pPr>
        <w:pStyle w:val="Sinespaciado"/>
        <w:rPr>
          <w:rFonts w:ascii="Arial" w:hAnsi="Arial" w:cs="Arial"/>
          <w:sz w:val="24"/>
          <w:szCs w:val="24"/>
        </w:rPr>
      </w:pPr>
    </w:p>
    <w:p w14:paraId="122BF8FD" w14:textId="08DACBDC" w:rsidR="4C09100D" w:rsidRPr="001C4D16" w:rsidRDefault="4C09100D" w:rsidP="001C4D16">
      <w:pPr>
        <w:pStyle w:val="Sinespaciado"/>
        <w:rPr>
          <w:rFonts w:ascii="Arial" w:hAnsi="Arial" w:cs="Arial"/>
          <w:sz w:val="24"/>
          <w:szCs w:val="24"/>
        </w:rPr>
      </w:pPr>
    </w:p>
    <w:p w14:paraId="23AFCBC2" w14:textId="510064C2" w:rsidR="00581B4A" w:rsidRPr="00AE10BD" w:rsidRDefault="113F1840" w:rsidP="00C518A6">
      <w:pPr>
        <w:tabs>
          <w:tab w:val="left" w:pos="7370"/>
        </w:tabs>
        <w:spacing w:after="120" w:line="257" w:lineRule="auto"/>
        <w:jc w:val="both"/>
        <w:rPr>
          <w:rFonts w:ascii="Arial" w:eastAsia="Arial" w:hAnsi="Arial" w:cs="Arial"/>
          <w:b/>
          <w:bCs/>
        </w:rPr>
      </w:pPr>
      <w:r w:rsidRPr="00AE10BD">
        <w:rPr>
          <w:rFonts w:ascii="Arial" w:eastAsia="Arial" w:hAnsi="Arial" w:cs="Arial"/>
          <w:b/>
          <w:bCs/>
        </w:rPr>
        <w:t>Precedentes:</w:t>
      </w:r>
    </w:p>
    <w:p w14:paraId="0FEF56E9" w14:textId="5CAF10C1" w:rsidR="113F1840" w:rsidRPr="00AE10BD" w:rsidRDefault="113F1840" w:rsidP="00C518A6">
      <w:pPr>
        <w:pStyle w:val="Prrafodelista"/>
        <w:numPr>
          <w:ilvl w:val="0"/>
          <w:numId w:val="4"/>
        </w:numPr>
        <w:spacing w:after="120"/>
        <w:contextualSpacing w:val="0"/>
        <w:jc w:val="both"/>
      </w:pPr>
      <w:r w:rsidRPr="00AE10BD">
        <w:rPr>
          <w:rFonts w:ascii="Arial" w:eastAsia="Arial" w:hAnsi="Arial" w:cs="Arial"/>
        </w:rPr>
        <w:t>Protección de datos personales. PPD. 00</w:t>
      </w:r>
      <w:r w:rsidR="04EB4711" w:rsidRPr="00AE10BD">
        <w:rPr>
          <w:rFonts w:ascii="Arial" w:eastAsia="Arial" w:hAnsi="Arial" w:cs="Arial"/>
        </w:rPr>
        <w:t>01</w:t>
      </w:r>
      <w:r w:rsidRPr="00AE10BD">
        <w:rPr>
          <w:rFonts w:ascii="Arial" w:eastAsia="Arial" w:hAnsi="Arial" w:cs="Arial"/>
        </w:rPr>
        <w:t>/</w:t>
      </w:r>
      <w:r w:rsidR="04EB4711" w:rsidRPr="00AE10BD">
        <w:rPr>
          <w:rFonts w:ascii="Arial" w:eastAsia="Arial" w:hAnsi="Arial" w:cs="Arial"/>
        </w:rPr>
        <w:t>15</w:t>
      </w:r>
      <w:r w:rsidR="001C4D16" w:rsidRPr="00AE10BD">
        <w:rPr>
          <w:rFonts w:ascii="Arial" w:eastAsia="Arial" w:hAnsi="Arial" w:cs="Arial"/>
        </w:rPr>
        <w:t>.</w:t>
      </w:r>
      <w:r w:rsidRPr="00AE10BD">
        <w:rPr>
          <w:rFonts w:ascii="Arial" w:eastAsia="Arial" w:hAnsi="Arial" w:cs="Arial"/>
        </w:rPr>
        <w:t xml:space="preserve"> Sesión del 2</w:t>
      </w:r>
      <w:r w:rsidR="012A25D8" w:rsidRPr="00AE10BD">
        <w:rPr>
          <w:rFonts w:ascii="Arial" w:eastAsia="Arial" w:hAnsi="Arial" w:cs="Arial"/>
        </w:rPr>
        <w:t>5</w:t>
      </w:r>
      <w:r w:rsidRPr="00AE10BD">
        <w:rPr>
          <w:rFonts w:ascii="Arial" w:eastAsia="Arial" w:hAnsi="Arial" w:cs="Arial"/>
        </w:rPr>
        <w:t xml:space="preserve"> de </w:t>
      </w:r>
      <w:r w:rsidR="012A25D8" w:rsidRPr="00AE10BD">
        <w:rPr>
          <w:rFonts w:ascii="Arial" w:eastAsia="Arial" w:hAnsi="Arial" w:cs="Arial"/>
        </w:rPr>
        <w:t>mayo</w:t>
      </w:r>
      <w:r w:rsidRPr="00AE10BD">
        <w:rPr>
          <w:rFonts w:ascii="Arial" w:eastAsia="Arial" w:hAnsi="Arial" w:cs="Arial"/>
        </w:rPr>
        <w:t xml:space="preserve"> de 201</w:t>
      </w:r>
      <w:r w:rsidR="012A25D8" w:rsidRPr="00AE10BD">
        <w:rPr>
          <w:rFonts w:ascii="Arial" w:eastAsia="Arial" w:hAnsi="Arial" w:cs="Arial"/>
        </w:rPr>
        <w:t>7</w:t>
      </w:r>
      <w:r w:rsidRPr="00AE10BD">
        <w:rPr>
          <w:rFonts w:ascii="Arial" w:eastAsia="Arial" w:hAnsi="Arial" w:cs="Arial"/>
        </w:rPr>
        <w:t>. Votación por unanimidad.</w:t>
      </w:r>
      <w:r w:rsidR="00E36BDC" w:rsidRPr="00AE10BD">
        <w:rPr>
          <w:rFonts w:ascii="Arial" w:eastAsia="Arial" w:hAnsi="Arial" w:cs="Arial"/>
        </w:rPr>
        <w:t xml:space="preserve"> </w:t>
      </w:r>
      <w:r w:rsidR="00E36BDC" w:rsidRPr="00AE10BD">
        <w:rPr>
          <w:rFonts w:ascii="Arial" w:hAnsi="Arial" w:cs="Arial"/>
        </w:rPr>
        <w:t>Sin votos particulares o disidentes.</w:t>
      </w:r>
      <w:r w:rsidRPr="00AE10BD">
        <w:rPr>
          <w:rFonts w:ascii="Arial" w:eastAsia="Arial" w:hAnsi="Arial" w:cs="Arial"/>
        </w:rPr>
        <w:t xml:space="preserve"> </w:t>
      </w:r>
      <w:r w:rsidR="012A25D8" w:rsidRPr="00AE10BD">
        <w:rPr>
          <w:rFonts w:ascii="Arial" w:eastAsia="Arial" w:hAnsi="Arial" w:cs="Arial"/>
        </w:rPr>
        <w:t>Google México, S. de R.L. de C.V</w:t>
      </w:r>
      <w:r w:rsidRPr="00AE10BD">
        <w:rPr>
          <w:rFonts w:ascii="Arial" w:eastAsia="Arial" w:hAnsi="Arial" w:cs="Arial"/>
        </w:rPr>
        <w:t xml:space="preserve">. </w:t>
      </w:r>
      <w:r w:rsidR="0540A8AF" w:rsidRPr="00AE10BD">
        <w:rPr>
          <w:rFonts w:ascii="Arial" w:eastAsia="Arial" w:hAnsi="Arial" w:cs="Arial"/>
        </w:rPr>
        <w:t>La resolución fue elaborada por la Dirección General de Protección de Derechos y Sanción y presentada para su votación en sesión privada del Pleno por conducto de la Secretaría de Protección de Datos Personales, por lo que no existe Comisionado o Comisionada Ponente.</w:t>
      </w:r>
    </w:p>
    <w:p w14:paraId="459A3CF4" w14:textId="36BC8F97" w:rsidR="113F1840" w:rsidRPr="00AE10BD" w:rsidRDefault="113F1840" w:rsidP="00C518A6">
      <w:pPr>
        <w:pStyle w:val="Prrafodelista"/>
        <w:numPr>
          <w:ilvl w:val="0"/>
          <w:numId w:val="4"/>
        </w:numPr>
        <w:spacing w:after="120"/>
        <w:contextualSpacing w:val="0"/>
        <w:jc w:val="both"/>
      </w:pPr>
      <w:r w:rsidRPr="00AE10BD">
        <w:rPr>
          <w:rFonts w:ascii="Arial" w:eastAsia="Arial" w:hAnsi="Arial" w:cs="Arial"/>
        </w:rPr>
        <w:t>Protección de datos personales. PPD. 00</w:t>
      </w:r>
      <w:r w:rsidR="00A61531" w:rsidRPr="00AE10BD">
        <w:rPr>
          <w:rFonts w:ascii="Arial" w:eastAsia="Arial" w:hAnsi="Arial" w:cs="Arial"/>
        </w:rPr>
        <w:t>74</w:t>
      </w:r>
      <w:r w:rsidRPr="00AE10BD">
        <w:rPr>
          <w:rFonts w:ascii="Arial" w:eastAsia="Arial" w:hAnsi="Arial" w:cs="Arial"/>
        </w:rPr>
        <w:t>/</w:t>
      </w:r>
      <w:r w:rsidR="00A61531" w:rsidRPr="00AE10BD">
        <w:rPr>
          <w:rFonts w:ascii="Arial" w:eastAsia="Arial" w:hAnsi="Arial" w:cs="Arial"/>
        </w:rPr>
        <w:t>17</w:t>
      </w:r>
      <w:r w:rsidRPr="00AE10BD">
        <w:rPr>
          <w:rFonts w:ascii="Arial" w:eastAsia="Arial" w:hAnsi="Arial" w:cs="Arial"/>
        </w:rPr>
        <w:t xml:space="preserve">. Sesión del 14 de </w:t>
      </w:r>
      <w:r w:rsidR="00A61531" w:rsidRPr="00AE10BD">
        <w:rPr>
          <w:rFonts w:ascii="Arial" w:eastAsia="Arial" w:hAnsi="Arial" w:cs="Arial"/>
        </w:rPr>
        <w:t>noviembre de 2018</w:t>
      </w:r>
      <w:r w:rsidRPr="00AE10BD">
        <w:rPr>
          <w:rFonts w:ascii="Arial" w:eastAsia="Arial" w:hAnsi="Arial" w:cs="Arial"/>
        </w:rPr>
        <w:t>. Votación por unanimidad.</w:t>
      </w:r>
      <w:r w:rsidR="00E36BDC" w:rsidRPr="00AE10BD">
        <w:rPr>
          <w:rFonts w:ascii="Arial" w:eastAsia="Arial" w:hAnsi="Arial" w:cs="Arial"/>
        </w:rPr>
        <w:t xml:space="preserve"> </w:t>
      </w:r>
      <w:r w:rsidR="00E36BDC" w:rsidRPr="00AE10BD">
        <w:rPr>
          <w:rFonts w:ascii="Arial" w:hAnsi="Arial" w:cs="Arial"/>
        </w:rPr>
        <w:t xml:space="preserve">Sin votos particulares o disidentes. </w:t>
      </w:r>
      <w:r w:rsidR="00A61531" w:rsidRPr="00AE10BD">
        <w:rPr>
          <w:rFonts w:ascii="Arial" w:eastAsia="Arial" w:hAnsi="Arial" w:cs="Arial"/>
        </w:rPr>
        <w:t>Google México, S. de R.L. de C.V.</w:t>
      </w:r>
      <w:r w:rsidRPr="00AE10BD">
        <w:rPr>
          <w:rFonts w:ascii="Arial" w:eastAsia="Arial" w:hAnsi="Arial" w:cs="Arial"/>
        </w:rPr>
        <w:t xml:space="preserve"> </w:t>
      </w:r>
      <w:r w:rsidR="0540A8AF" w:rsidRPr="00AE10BD">
        <w:rPr>
          <w:rFonts w:ascii="Arial" w:eastAsia="Arial" w:hAnsi="Arial" w:cs="Arial"/>
        </w:rPr>
        <w:t>La resolución fue elaborada por la Dirección General de Protección de Derechos y Sanción y presentada para su votación en sesión privada del Pleno por conducto de la Secretaría de Protección de Datos Personales, por lo que no existe Comisionado o Comisionada Ponente.</w:t>
      </w:r>
    </w:p>
    <w:p w14:paraId="5C1A07E2" w14:textId="5CD69D25" w:rsidR="00581B4A" w:rsidRPr="00AE10BD" w:rsidRDefault="113F1840" w:rsidP="00C518A6">
      <w:pPr>
        <w:pStyle w:val="Prrafodelista"/>
        <w:numPr>
          <w:ilvl w:val="0"/>
          <w:numId w:val="4"/>
        </w:numPr>
        <w:spacing w:after="120"/>
        <w:contextualSpacing w:val="0"/>
        <w:jc w:val="both"/>
        <w:rPr>
          <w:rFonts w:ascii="Arial" w:eastAsia="Arial" w:hAnsi="Arial" w:cs="Arial"/>
        </w:rPr>
      </w:pPr>
      <w:r w:rsidRPr="00AE10BD">
        <w:rPr>
          <w:rFonts w:ascii="Arial" w:eastAsia="Arial" w:hAnsi="Arial" w:cs="Arial"/>
        </w:rPr>
        <w:t>Protección de datos personales. PPD.0</w:t>
      </w:r>
      <w:r w:rsidR="005253F2" w:rsidRPr="00AE10BD">
        <w:rPr>
          <w:rFonts w:ascii="Arial" w:eastAsia="Arial" w:hAnsi="Arial" w:cs="Arial"/>
        </w:rPr>
        <w:t>036</w:t>
      </w:r>
      <w:r w:rsidRPr="00AE10BD">
        <w:rPr>
          <w:rFonts w:ascii="Arial" w:eastAsia="Arial" w:hAnsi="Arial" w:cs="Arial"/>
        </w:rPr>
        <w:t>/</w:t>
      </w:r>
      <w:r w:rsidR="005253F2" w:rsidRPr="00AE10BD">
        <w:rPr>
          <w:rFonts w:ascii="Arial" w:eastAsia="Arial" w:hAnsi="Arial" w:cs="Arial"/>
        </w:rPr>
        <w:t>17</w:t>
      </w:r>
      <w:r w:rsidRPr="00AE10BD">
        <w:rPr>
          <w:rFonts w:ascii="Arial" w:eastAsia="Arial" w:hAnsi="Arial" w:cs="Arial"/>
        </w:rPr>
        <w:t xml:space="preserve">. Sesión del </w:t>
      </w:r>
      <w:r w:rsidR="005253F2" w:rsidRPr="00AE10BD">
        <w:rPr>
          <w:rFonts w:ascii="Arial" w:eastAsia="Arial" w:hAnsi="Arial" w:cs="Arial"/>
        </w:rPr>
        <w:t>18 de junio</w:t>
      </w:r>
      <w:r w:rsidRPr="00AE10BD">
        <w:rPr>
          <w:rFonts w:ascii="Arial" w:eastAsia="Arial" w:hAnsi="Arial" w:cs="Arial"/>
        </w:rPr>
        <w:t xml:space="preserve"> de 20</w:t>
      </w:r>
      <w:r w:rsidR="005253F2" w:rsidRPr="00AE10BD">
        <w:rPr>
          <w:rFonts w:ascii="Arial" w:eastAsia="Arial" w:hAnsi="Arial" w:cs="Arial"/>
        </w:rPr>
        <w:t>19</w:t>
      </w:r>
      <w:r w:rsidRPr="00AE10BD">
        <w:rPr>
          <w:rFonts w:ascii="Arial" w:eastAsia="Arial" w:hAnsi="Arial" w:cs="Arial"/>
        </w:rPr>
        <w:t>. Votación por unanimidad.</w:t>
      </w:r>
      <w:r w:rsidR="00E36BDC" w:rsidRPr="00AE10BD">
        <w:rPr>
          <w:rFonts w:ascii="Arial" w:eastAsia="Arial" w:hAnsi="Arial" w:cs="Arial"/>
        </w:rPr>
        <w:t xml:space="preserve"> </w:t>
      </w:r>
      <w:r w:rsidR="00E36BDC" w:rsidRPr="00AE10BD">
        <w:rPr>
          <w:rFonts w:ascii="Arial" w:hAnsi="Arial" w:cs="Arial"/>
        </w:rPr>
        <w:t xml:space="preserve">Sin votos particulares o disidentes. </w:t>
      </w:r>
      <w:r w:rsidR="005253F2" w:rsidRPr="00AE10BD">
        <w:rPr>
          <w:rFonts w:ascii="Arial" w:eastAsia="Arial" w:hAnsi="Arial" w:cs="Arial"/>
        </w:rPr>
        <w:t>Google México, S. de R.L</w:t>
      </w:r>
      <w:r w:rsidRPr="00AE10BD">
        <w:rPr>
          <w:rFonts w:ascii="Arial" w:eastAsia="Arial" w:hAnsi="Arial" w:cs="Arial"/>
        </w:rPr>
        <w:t xml:space="preserve">. de C.V. </w:t>
      </w:r>
      <w:r w:rsidR="0540A8AF" w:rsidRPr="00AE10BD">
        <w:rPr>
          <w:rFonts w:ascii="Arial" w:eastAsia="Arial" w:hAnsi="Arial" w:cs="Arial"/>
        </w:rPr>
        <w:t xml:space="preserve">La resolución fue elaborada por la Dirección General de Protección de Derechos y Sanción y presentada para su votación en sesión privada del Pleno por conducto de la Secretaría </w:t>
      </w:r>
      <w:r w:rsidR="0540A8AF" w:rsidRPr="00AE10BD">
        <w:rPr>
          <w:rFonts w:ascii="Arial" w:eastAsia="Arial" w:hAnsi="Arial" w:cs="Arial"/>
          <w:color w:val="000000" w:themeColor="text1"/>
        </w:rPr>
        <w:t>de Protección de Datos Personales, por lo que no existe Comisionado o Comisionada Ponente.</w:t>
      </w:r>
    </w:p>
    <w:sectPr w:rsidR="00581B4A" w:rsidRPr="00AE10BD" w:rsidSect="00AE10B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87FED" w14:textId="77777777" w:rsidR="004228A7" w:rsidRDefault="004228A7">
      <w:pPr>
        <w:spacing w:after="0" w:line="240" w:lineRule="auto"/>
      </w:pPr>
      <w:r>
        <w:separator/>
      </w:r>
    </w:p>
  </w:endnote>
  <w:endnote w:type="continuationSeparator" w:id="0">
    <w:p w14:paraId="0FA93C81" w14:textId="77777777" w:rsidR="004228A7" w:rsidRDefault="0042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113F1840" w14:paraId="65C7A568" w14:textId="77777777" w:rsidTr="113F1840">
      <w:tc>
        <w:tcPr>
          <w:tcW w:w="3005" w:type="dxa"/>
        </w:tcPr>
        <w:p w14:paraId="4D899ADA" w14:textId="1EC8EA6D" w:rsidR="113F1840" w:rsidRDefault="113F1840" w:rsidP="113F1840">
          <w:pPr>
            <w:pStyle w:val="Encabezado"/>
            <w:ind w:left="-115"/>
          </w:pPr>
        </w:p>
      </w:tc>
      <w:tc>
        <w:tcPr>
          <w:tcW w:w="3005" w:type="dxa"/>
        </w:tcPr>
        <w:p w14:paraId="0B30AE49" w14:textId="628D8CB0" w:rsidR="113F1840" w:rsidRDefault="113F1840" w:rsidP="113F1840">
          <w:pPr>
            <w:pStyle w:val="Encabezado"/>
            <w:jc w:val="center"/>
          </w:pPr>
        </w:p>
      </w:tc>
      <w:tc>
        <w:tcPr>
          <w:tcW w:w="3005" w:type="dxa"/>
        </w:tcPr>
        <w:p w14:paraId="3A282B4E" w14:textId="607F2048" w:rsidR="113F1840" w:rsidRDefault="113F1840" w:rsidP="113F1840">
          <w:pPr>
            <w:pStyle w:val="Encabezado"/>
            <w:ind w:right="-115"/>
            <w:jc w:val="right"/>
          </w:pPr>
        </w:p>
      </w:tc>
    </w:tr>
  </w:tbl>
  <w:tbl>
    <w:tblPr>
      <w:tblStyle w:val="Tablaconcuadrcula"/>
      <w:tblW w:w="9356" w:type="dxa"/>
      <w:tblLayout w:type="fixed"/>
      <w:tblLook w:val="04A0" w:firstRow="1" w:lastRow="0" w:firstColumn="1" w:lastColumn="0" w:noHBand="0" w:noVBand="1"/>
    </w:tblPr>
    <w:tblGrid>
      <w:gridCol w:w="9356"/>
    </w:tblGrid>
    <w:tr w:rsidR="001C4D16" w14:paraId="7E12C21C" w14:textId="77777777" w:rsidTr="00956D93">
      <w:tc>
        <w:tcPr>
          <w:tcW w:w="9356" w:type="dxa"/>
          <w:tcBorders>
            <w:top w:val="single" w:sz="18" w:space="0" w:color="000000"/>
            <w:left w:val="nil"/>
            <w:bottom w:val="nil"/>
            <w:right w:val="nil"/>
          </w:tcBorders>
        </w:tcPr>
        <w:p w14:paraId="283A97A3" w14:textId="77777777" w:rsidR="001C4D16" w:rsidRDefault="001C4D16" w:rsidP="001C4D16">
          <w:pPr>
            <w:pStyle w:val="Piedepgina"/>
            <w:widowControl w:val="0"/>
            <w:ind w:left="601"/>
            <w:rPr>
              <w:rFonts w:ascii="Arial" w:hAnsi="Arial" w:cs="Arial"/>
              <w:b/>
              <w:bCs/>
              <w:sz w:val="12"/>
              <w:szCs w:val="12"/>
            </w:rPr>
          </w:pPr>
        </w:p>
        <w:p w14:paraId="6AD8110B" w14:textId="77777777" w:rsidR="001C4D16" w:rsidRDefault="001C4D16" w:rsidP="001C4D16">
          <w:pPr>
            <w:pStyle w:val="Piedepgina"/>
            <w:widowControl w:val="0"/>
            <w:tabs>
              <w:tab w:val="left" w:pos="1368"/>
              <w:tab w:val="center" w:pos="4306"/>
            </w:tabs>
            <w:rPr>
              <w:rFonts w:ascii="Arial" w:hAnsi="Arial" w:cs="Arial"/>
              <w:b/>
              <w:bCs/>
              <w:sz w:val="28"/>
              <w:szCs w:val="28"/>
            </w:rPr>
          </w:pPr>
          <w:r>
            <w:rPr>
              <w:rFonts w:ascii="Arial" w:eastAsia="Calibri" w:hAnsi="Arial" w:cs="Arial"/>
              <w:b/>
              <w:bCs/>
              <w:sz w:val="28"/>
              <w:szCs w:val="28"/>
            </w:rPr>
            <w:tab/>
          </w:r>
          <w:r>
            <w:rPr>
              <w:rFonts w:ascii="Arial" w:eastAsia="Calibri" w:hAnsi="Arial" w:cs="Arial"/>
              <w:b/>
              <w:bCs/>
              <w:sz w:val="28"/>
              <w:szCs w:val="28"/>
            </w:rPr>
            <w:tab/>
            <w:t>Tercera Época</w:t>
          </w:r>
        </w:p>
      </w:tc>
    </w:tr>
  </w:tbl>
  <w:p w14:paraId="13E297CB" w14:textId="77777777" w:rsidR="001C4D16" w:rsidRDefault="001C4D16" w:rsidP="001C4D16">
    <w:pPr>
      <w:pStyle w:val="Piedepgina"/>
      <w:jc w:val="center"/>
      <w:rPr>
        <w:lang w:val="fr-FR"/>
      </w:rPr>
    </w:pPr>
  </w:p>
  <w:p w14:paraId="572E58C4" w14:textId="0D8C4C20" w:rsidR="113F1840" w:rsidRDefault="113F1840" w:rsidP="113F18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A31D4" w14:textId="77777777" w:rsidR="004228A7" w:rsidRDefault="004228A7">
      <w:pPr>
        <w:spacing w:after="0" w:line="240" w:lineRule="auto"/>
      </w:pPr>
      <w:r>
        <w:separator/>
      </w:r>
    </w:p>
  </w:footnote>
  <w:footnote w:type="continuationSeparator" w:id="0">
    <w:p w14:paraId="1E690D27" w14:textId="77777777" w:rsidR="004228A7" w:rsidRDefault="00422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0A422" w14:textId="77777777" w:rsidR="003520DC" w:rsidRDefault="003520DC" w:rsidP="33B55BE8">
    <w:pPr>
      <w:pStyle w:val="Encabezado"/>
      <w:rPr>
        <w:rFonts w:ascii="Arial" w:eastAsia="Arial" w:hAnsi="Arial" w:cs="Arial"/>
      </w:rPr>
    </w:pPr>
    <w:r>
      <w:rPr>
        <w:noProof/>
        <w:lang w:val="es-MX" w:eastAsia="es-MX"/>
      </w:rPr>
      <w:drawing>
        <wp:anchor distT="0" distB="0" distL="114300" distR="114300" simplePos="0" relativeHeight="251659264" behindDoc="1" locked="0" layoutInCell="1" allowOverlap="1" wp14:anchorId="0835394D" wp14:editId="7D97DED5">
          <wp:simplePos x="0" y="0"/>
          <wp:positionH relativeFrom="column">
            <wp:posOffset>290830</wp:posOffset>
          </wp:positionH>
          <wp:positionV relativeFrom="paragraph">
            <wp:posOffset>55880</wp:posOffset>
          </wp:positionV>
          <wp:extent cx="1076325" cy="1114425"/>
          <wp:effectExtent l="0" t="0" r="9525" b="9525"/>
          <wp:wrapNone/>
          <wp:docPr id="21" name="Imagen 21" descr="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76325" cy="1114425"/>
                  </a:xfrm>
                  <a:prstGeom prst="rect">
                    <a:avLst/>
                  </a:prstGeom>
                </pic:spPr>
              </pic:pic>
            </a:graphicData>
          </a:graphic>
          <wp14:sizeRelH relativeFrom="page">
            <wp14:pctWidth>0</wp14:pctWidth>
          </wp14:sizeRelH>
          <wp14:sizeRelV relativeFrom="page">
            <wp14:pctHeight>0</wp14:pctHeight>
          </wp14:sizeRelV>
        </wp:anchor>
      </w:drawing>
    </w:r>
  </w:p>
  <w:p w14:paraId="2CFC0A9E" w14:textId="77777777" w:rsidR="00956D93" w:rsidRDefault="00956D93" w:rsidP="00956D93">
    <w:pPr>
      <w:pStyle w:val="Encabezado"/>
      <w:ind w:left="3402"/>
      <w:jc w:val="center"/>
      <w:rPr>
        <w:rFonts w:ascii="Arial" w:hAnsi="Arial" w:cs="Arial"/>
        <w:b/>
        <w:bCs/>
        <w:sz w:val="28"/>
        <w:szCs w:val="28"/>
      </w:rPr>
    </w:pPr>
    <w:r>
      <w:rPr>
        <w:rFonts w:ascii="Arial" w:hAnsi="Arial" w:cs="Arial"/>
        <w:b/>
        <w:bCs/>
        <w:sz w:val="28"/>
        <w:szCs w:val="28"/>
      </w:rPr>
      <w:t xml:space="preserve">Criterio de Interpretación </w:t>
    </w:r>
  </w:p>
  <w:p w14:paraId="5C300CFD" w14:textId="77777777" w:rsidR="00956D93" w:rsidRDefault="00956D93" w:rsidP="00956D93">
    <w:pPr>
      <w:pStyle w:val="Encabezado"/>
      <w:ind w:left="3402"/>
      <w:jc w:val="center"/>
      <w:rPr>
        <w:rFonts w:ascii="Arial" w:hAnsi="Arial" w:cs="Arial"/>
        <w:b/>
        <w:bCs/>
        <w:sz w:val="28"/>
        <w:szCs w:val="28"/>
      </w:rPr>
    </w:pPr>
    <w:r>
      <w:rPr>
        <w:rFonts w:ascii="Arial" w:hAnsi="Arial" w:cs="Arial"/>
        <w:b/>
        <w:bCs/>
        <w:sz w:val="28"/>
        <w:szCs w:val="28"/>
      </w:rPr>
      <w:t xml:space="preserve">para sujetos regulados </w:t>
    </w:r>
  </w:p>
  <w:p w14:paraId="3A6F2B97" w14:textId="77777777" w:rsidR="00956D93" w:rsidRDefault="00956D93" w:rsidP="00956D93">
    <w:pPr>
      <w:pStyle w:val="Encabezado"/>
      <w:ind w:left="3402"/>
      <w:jc w:val="center"/>
      <w:rPr>
        <w:rFonts w:ascii="Arial" w:hAnsi="Arial" w:cs="Arial"/>
        <w:b/>
        <w:bCs/>
        <w:sz w:val="28"/>
        <w:szCs w:val="28"/>
      </w:rPr>
    </w:pPr>
    <w:r>
      <w:rPr>
        <w:rFonts w:ascii="Arial" w:hAnsi="Arial" w:cs="Arial"/>
        <w:b/>
        <w:bCs/>
        <w:sz w:val="28"/>
        <w:szCs w:val="28"/>
      </w:rPr>
      <w:t>Reiterado</w:t>
    </w:r>
  </w:p>
  <w:p w14:paraId="79874CE6" w14:textId="77777777" w:rsidR="00AE10BD" w:rsidRDefault="00AE10BD" w:rsidP="33B55BE8">
    <w:pPr>
      <w:pStyle w:val="Encabezado"/>
      <w:ind w:left="3402"/>
      <w:jc w:val="both"/>
      <w:rPr>
        <w:rFonts w:ascii="Arial" w:eastAsia="Arial" w:hAnsi="Arial" w:cs="Arial"/>
        <w:b/>
        <w:bCs/>
        <w:sz w:val="24"/>
        <w:szCs w:val="24"/>
      </w:rPr>
    </w:pPr>
  </w:p>
  <w:p w14:paraId="5D15A5A5" w14:textId="09721B20" w:rsidR="003520DC" w:rsidRPr="00AE10BD" w:rsidRDefault="4F86DE43" w:rsidP="00FB2C7C">
    <w:pPr>
      <w:pStyle w:val="Encabezado"/>
      <w:ind w:left="3828"/>
      <w:jc w:val="both"/>
      <w:rPr>
        <w:rFonts w:ascii="Arial" w:eastAsia="Arial" w:hAnsi="Arial" w:cs="Arial"/>
        <w:b/>
        <w:bCs/>
        <w:sz w:val="24"/>
        <w:szCs w:val="24"/>
      </w:rPr>
    </w:pPr>
    <w:r w:rsidRPr="4F86DE43">
      <w:rPr>
        <w:rFonts w:ascii="Arial" w:eastAsia="Arial" w:hAnsi="Arial" w:cs="Arial"/>
        <w:b/>
        <w:bCs/>
        <w:sz w:val="24"/>
        <w:szCs w:val="24"/>
      </w:rPr>
      <w:t xml:space="preserve">Clave de control: </w:t>
    </w:r>
    <w:r w:rsidRPr="00AE10BD">
      <w:rPr>
        <w:rFonts w:ascii="Arial" w:eastAsia="Arial" w:hAnsi="Arial" w:cs="Arial"/>
        <w:sz w:val="24"/>
        <w:szCs w:val="24"/>
      </w:rPr>
      <w:t>PP/0</w:t>
    </w:r>
    <w:r w:rsidR="00F5237E" w:rsidRPr="00AE10BD">
      <w:rPr>
        <w:rFonts w:ascii="Arial" w:eastAsia="Arial" w:hAnsi="Arial" w:cs="Arial"/>
        <w:sz w:val="24"/>
        <w:szCs w:val="24"/>
      </w:rPr>
      <w:t>0</w:t>
    </w:r>
    <w:r w:rsidR="00511896" w:rsidRPr="00AE10BD">
      <w:rPr>
        <w:rFonts w:ascii="Arial" w:eastAsia="Arial" w:hAnsi="Arial" w:cs="Arial"/>
        <w:sz w:val="24"/>
        <w:szCs w:val="24"/>
      </w:rPr>
      <w:t>4</w:t>
    </w:r>
    <w:r w:rsidRPr="00AE10BD">
      <w:rPr>
        <w:rFonts w:ascii="Arial" w:eastAsia="Arial" w:hAnsi="Arial" w:cs="Arial"/>
        <w:sz w:val="24"/>
        <w:szCs w:val="24"/>
      </w:rPr>
      <w:t>/202</w:t>
    </w:r>
    <w:r w:rsidR="00F5237E" w:rsidRPr="00AE10BD">
      <w:rPr>
        <w:rFonts w:ascii="Arial" w:eastAsia="Arial" w:hAnsi="Arial" w:cs="Arial"/>
        <w:sz w:val="24"/>
        <w:szCs w:val="24"/>
      </w:rPr>
      <w:t>3</w:t>
    </w:r>
  </w:p>
  <w:p w14:paraId="2280A35A" w14:textId="77777777" w:rsidR="003520DC" w:rsidRPr="00AE10BD" w:rsidRDefault="003520DC" w:rsidP="00FB2C7C">
    <w:pPr>
      <w:pStyle w:val="Encabezado"/>
      <w:ind w:left="3828"/>
      <w:jc w:val="both"/>
      <w:rPr>
        <w:rFonts w:ascii="Arial" w:eastAsia="Arial" w:hAnsi="Arial" w:cs="Arial"/>
        <w:sz w:val="24"/>
        <w:szCs w:val="24"/>
      </w:rPr>
    </w:pPr>
    <w:r w:rsidRPr="00AE10BD">
      <w:rPr>
        <w:noProof/>
        <w:lang w:val="es-MX" w:eastAsia="es-MX"/>
      </w:rPr>
      <mc:AlternateContent>
        <mc:Choice Requires="wps">
          <w:drawing>
            <wp:anchor distT="45720" distB="45720" distL="114300" distR="114300" simplePos="0" relativeHeight="251660288" behindDoc="1" locked="0" layoutInCell="1" allowOverlap="1" wp14:anchorId="4E046C87" wp14:editId="5AD5E380">
              <wp:simplePos x="0" y="0"/>
              <wp:positionH relativeFrom="margin">
                <wp:posOffset>-36830</wp:posOffset>
              </wp:positionH>
              <wp:positionV relativeFrom="paragraph">
                <wp:posOffset>64135</wp:posOffset>
              </wp:positionV>
              <wp:extent cx="18288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1FF2CF40" w14:textId="77777777" w:rsidR="003520DC" w:rsidRDefault="003520DC" w:rsidP="003520DC">
                          <w:pPr>
                            <w:jc w:val="center"/>
                          </w:pPr>
                          <w:r w:rsidRPr="00364C5E">
                            <w:rPr>
                              <w:rFonts w:ascii="Arial" w:hAnsi="Arial" w:cs="Arial"/>
                              <w:sz w:val="16"/>
                              <w:szCs w:val="16"/>
                            </w:rPr>
                            <w:t>Instituto Nacional de Transparencia, Acceso a la Información y Protección de Datos Personales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046C87" id="_x0000_t202" coordsize="21600,21600" o:spt="202" path="m,l,21600r21600,l21600,xe">
              <v:stroke joinstyle="miter"/>
              <v:path gradientshapeok="t" o:connecttype="rect"/>
            </v:shapetype>
            <v:shape id="Cuadro de texto 2" o:spid="_x0000_s1026" type="#_x0000_t202" style="position:absolute;left:0;text-align:left;margin-left:-2.9pt;margin-top:5.05pt;width:2in;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GXDA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y5ny2VOIUmx6TyfX83SWjJRPF936MMXBR2LRsmRtprgxeHeh9iOKJ5TYjUPRtdbbUxycFdt&#10;DLKDIAVs05cmeJVmLOtLfr2YLRKyhXg/iaPTgRRqdFdyapO+UTORjs+2TilBaDPa1ImxJ34iJSM5&#10;YagGSow8VVAfiSmEUYn0cshoAf9w1pMKS+5/7wUqzsxXS2xfT+fzKNvkzBcfiRqGl5HqMiKsJKiS&#10;B85GcxOS1BMP7pa2stWJr5dOTr2SuhKNp5cQ5Xvpp6yX97r+CwAA//8DAFBLAwQUAAYACAAAACEA&#10;Yd1a+t4AAAAJAQAADwAAAGRycy9kb3ducmV2LnhtbEyPzU7DMBCE70h9B2srcWudpCqqQpyqouLC&#10;AYlSCY5uvIkj/CfbTcPbs5zgtrOzmvm22c/WsAljGr0TUK4LYOg6r0Y3CDi/P692wFKWTknjHQr4&#10;xgT7dnHXyFr5m3vD6ZQHRiEu1VKAzjnUnKdOo5Vp7QM68nofrcwk48BVlDcKt4ZXRfHArRwdNWgZ&#10;8Elj93W6WgEfVo/qGF8/e2Wm40t/2IY5BiHul/PhEVjGOf8dwy8+oUNLTBd/dSoxI2C1JfJM+6IE&#10;Rn61qypgFxo25QZ42/D/H7Q/AAAA//8DAFBLAQItABQABgAIAAAAIQC2gziS/gAAAOEBAAATAAAA&#10;AAAAAAAAAAAAAAAAAABbQ29udGVudF9UeXBlc10ueG1sUEsBAi0AFAAGAAgAAAAhADj9If/WAAAA&#10;lAEAAAsAAAAAAAAAAAAAAAAALwEAAF9yZWxzLy5yZWxzUEsBAi0AFAAGAAgAAAAhAENusZcMAgAA&#10;9wMAAA4AAAAAAAAAAAAAAAAALgIAAGRycy9lMm9Eb2MueG1sUEsBAi0AFAAGAAgAAAAhAGHdWvre&#10;AAAACQEAAA8AAAAAAAAAAAAAAAAAZgQAAGRycy9kb3ducmV2LnhtbFBLBQYAAAAABAAEAPMAAABx&#10;BQAAAAA=&#10;" stroked="f">
              <v:textbox style="mso-fit-shape-to-text:t">
                <w:txbxContent>
                  <w:p w14:paraId="1FF2CF40" w14:textId="77777777" w:rsidR="003520DC" w:rsidRDefault="003520DC" w:rsidP="003520DC">
                    <w:pPr>
                      <w:jc w:val="center"/>
                    </w:pPr>
                    <w:r w:rsidRPr="00364C5E">
                      <w:rPr>
                        <w:rFonts w:ascii="Arial" w:hAnsi="Arial" w:cs="Arial"/>
                        <w:sz w:val="16"/>
                        <w:szCs w:val="16"/>
                      </w:rPr>
                      <w:t>Instituto Nacional de Transparencia, Acceso a la Información y Protección de Datos Personales</w:t>
                    </w:r>
                  </w:p>
                </w:txbxContent>
              </v:textbox>
              <w10:wrap type="square" anchorx="margin"/>
            </v:shape>
          </w:pict>
        </mc:Fallback>
      </mc:AlternateContent>
    </w:r>
    <w:r w:rsidR="33B55BE8" w:rsidRPr="00AE10BD">
      <w:rPr>
        <w:rFonts w:ascii="Arial" w:eastAsia="Arial" w:hAnsi="Arial" w:cs="Arial"/>
        <w:b/>
        <w:bCs/>
        <w:sz w:val="24"/>
        <w:szCs w:val="24"/>
      </w:rPr>
      <w:t xml:space="preserve">Materia: </w:t>
    </w:r>
    <w:r w:rsidR="33B55BE8" w:rsidRPr="00AE10BD">
      <w:rPr>
        <w:rFonts w:ascii="Arial" w:eastAsia="Arial" w:hAnsi="Arial" w:cs="Arial"/>
        <w:sz w:val="24"/>
        <w:szCs w:val="24"/>
      </w:rPr>
      <w:t>Protección de datos personales en posesión de los particulares.</w:t>
    </w:r>
  </w:p>
  <w:p w14:paraId="1DC003E8" w14:textId="688C685F" w:rsidR="113F1840" w:rsidRDefault="003520DC" w:rsidP="00FB2C7C">
    <w:pPr>
      <w:pStyle w:val="Encabezado"/>
      <w:ind w:left="3828"/>
      <w:jc w:val="both"/>
      <w:rPr>
        <w:rFonts w:ascii="Arial" w:hAnsi="Arial" w:cs="Arial"/>
        <w:b/>
        <w:bCs/>
        <w:sz w:val="24"/>
        <w:szCs w:val="24"/>
      </w:rPr>
    </w:pPr>
    <w:r w:rsidRPr="00AE10BD">
      <w:rPr>
        <w:rFonts w:ascii="Arial" w:hAnsi="Arial" w:cs="Arial"/>
        <w:b/>
        <w:bCs/>
        <w:sz w:val="24"/>
        <w:szCs w:val="24"/>
      </w:rPr>
      <w:t>Acuerdo</w:t>
    </w:r>
    <w:r w:rsidR="001C4D16" w:rsidRPr="00AE10BD">
      <w:rPr>
        <w:rFonts w:ascii="Arial" w:hAnsi="Arial" w:cs="Arial"/>
        <w:b/>
        <w:bCs/>
        <w:sz w:val="24"/>
        <w:szCs w:val="24"/>
      </w:rPr>
      <w:t>:</w:t>
    </w:r>
    <w:r w:rsidRPr="00AE10BD">
      <w:rPr>
        <w:rFonts w:ascii="Arial" w:hAnsi="Arial" w:cs="Arial"/>
        <w:b/>
        <w:bCs/>
        <w:sz w:val="24"/>
        <w:szCs w:val="24"/>
      </w:rPr>
      <w:t xml:space="preserve"> </w:t>
    </w:r>
    <w:r w:rsidR="00AE10BD" w:rsidRPr="00AE10BD">
      <w:rPr>
        <w:rFonts w:ascii="Arial" w:hAnsi="Arial" w:cs="Arial"/>
        <w:b/>
        <w:bCs/>
        <w:sz w:val="24"/>
        <w:szCs w:val="24"/>
      </w:rPr>
      <w:t>ACT-PUB/25/01/2023.07</w:t>
    </w:r>
  </w:p>
  <w:p w14:paraId="6D8D0490" w14:textId="77777777" w:rsidR="00AE10BD" w:rsidRDefault="00AE10BD" w:rsidP="00AE10BD">
    <w:pPr>
      <w:pStyle w:val="Encabezado"/>
      <w:ind w:left="340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517F"/>
    <w:multiLevelType w:val="hybridMultilevel"/>
    <w:tmpl w:val="2AA2FD78"/>
    <w:lvl w:ilvl="0" w:tplc="75A2399C">
      <w:start w:val="1"/>
      <w:numFmt w:val="bullet"/>
      <w:lvlText w:val="·"/>
      <w:lvlJc w:val="left"/>
      <w:pPr>
        <w:ind w:left="720" w:hanging="360"/>
      </w:pPr>
      <w:rPr>
        <w:rFonts w:ascii="Symbol" w:hAnsi="Symbol" w:hint="default"/>
      </w:rPr>
    </w:lvl>
    <w:lvl w:ilvl="1" w:tplc="6D306CC6">
      <w:start w:val="1"/>
      <w:numFmt w:val="bullet"/>
      <w:lvlText w:val="o"/>
      <w:lvlJc w:val="left"/>
      <w:pPr>
        <w:ind w:left="1440" w:hanging="360"/>
      </w:pPr>
      <w:rPr>
        <w:rFonts w:ascii="Courier New" w:hAnsi="Courier New" w:hint="default"/>
      </w:rPr>
    </w:lvl>
    <w:lvl w:ilvl="2" w:tplc="68865F56">
      <w:start w:val="1"/>
      <w:numFmt w:val="bullet"/>
      <w:lvlText w:val=""/>
      <w:lvlJc w:val="left"/>
      <w:pPr>
        <w:ind w:left="2160" w:hanging="360"/>
      </w:pPr>
      <w:rPr>
        <w:rFonts w:ascii="Wingdings" w:hAnsi="Wingdings" w:hint="default"/>
      </w:rPr>
    </w:lvl>
    <w:lvl w:ilvl="3" w:tplc="F496BC20">
      <w:start w:val="1"/>
      <w:numFmt w:val="bullet"/>
      <w:lvlText w:val=""/>
      <w:lvlJc w:val="left"/>
      <w:pPr>
        <w:ind w:left="2880" w:hanging="360"/>
      </w:pPr>
      <w:rPr>
        <w:rFonts w:ascii="Symbol" w:hAnsi="Symbol" w:hint="default"/>
      </w:rPr>
    </w:lvl>
    <w:lvl w:ilvl="4" w:tplc="C3FE9542">
      <w:start w:val="1"/>
      <w:numFmt w:val="bullet"/>
      <w:lvlText w:val="o"/>
      <w:lvlJc w:val="left"/>
      <w:pPr>
        <w:ind w:left="3600" w:hanging="360"/>
      </w:pPr>
      <w:rPr>
        <w:rFonts w:ascii="Courier New" w:hAnsi="Courier New" w:hint="default"/>
      </w:rPr>
    </w:lvl>
    <w:lvl w:ilvl="5" w:tplc="785C079E">
      <w:start w:val="1"/>
      <w:numFmt w:val="bullet"/>
      <w:lvlText w:val=""/>
      <w:lvlJc w:val="left"/>
      <w:pPr>
        <w:ind w:left="4320" w:hanging="360"/>
      </w:pPr>
      <w:rPr>
        <w:rFonts w:ascii="Wingdings" w:hAnsi="Wingdings" w:hint="default"/>
      </w:rPr>
    </w:lvl>
    <w:lvl w:ilvl="6" w:tplc="78C6D43C">
      <w:start w:val="1"/>
      <w:numFmt w:val="bullet"/>
      <w:lvlText w:val=""/>
      <w:lvlJc w:val="left"/>
      <w:pPr>
        <w:ind w:left="5040" w:hanging="360"/>
      </w:pPr>
      <w:rPr>
        <w:rFonts w:ascii="Symbol" w:hAnsi="Symbol" w:hint="default"/>
      </w:rPr>
    </w:lvl>
    <w:lvl w:ilvl="7" w:tplc="A3488274">
      <w:start w:val="1"/>
      <w:numFmt w:val="bullet"/>
      <w:lvlText w:val="o"/>
      <w:lvlJc w:val="left"/>
      <w:pPr>
        <w:ind w:left="5760" w:hanging="360"/>
      </w:pPr>
      <w:rPr>
        <w:rFonts w:ascii="Courier New" w:hAnsi="Courier New" w:hint="default"/>
      </w:rPr>
    </w:lvl>
    <w:lvl w:ilvl="8" w:tplc="3B021286">
      <w:start w:val="1"/>
      <w:numFmt w:val="bullet"/>
      <w:lvlText w:val=""/>
      <w:lvlJc w:val="left"/>
      <w:pPr>
        <w:ind w:left="6480" w:hanging="360"/>
      </w:pPr>
      <w:rPr>
        <w:rFonts w:ascii="Wingdings" w:hAnsi="Wingdings" w:hint="default"/>
      </w:rPr>
    </w:lvl>
  </w:abstractNum>
  <w:abstractNum w:abstractNumId="1">
    <w:nsid w:val="12B4AA8F"/>
    <w:multiLevelType w:val="hybridMultilevel"/>
    <w:tmpl w:val="F17E2B34"/>
    <w:lvl w:ilvl="0" w:tplc="DFC404DC">
      <w:start w:val="1"/>
      <w:numFmt w:val="bullet"/>
      <w:lvlText w:val="·"/>
      <w:lvlJc w:val="left"/>
      <w:pPr>
        <w:ind w:left="720" w:hanging="360"/>
      </w:pPr>
      <w:rPr>
        <w:rFonts w:ascii="Symbol" w:hAnsi="Symbol" w:hint="default"/>
      </w:rPr>
    </w:lvl>
    <w:lvl w:ilvl="1" w:tplc="BE7C3C08">
      <w:start w:val="1"/>
      <w:numFmt w:val="bullet"/>
      <w:lvlText w:val="o"/>
      <w:lvlJc w:val="left"/>
      <w:pPr>
        <w:ind w:left="1440" w:hanging="360"/>
      </w:pPr>
      <w:rPr>
        <w:rFonts w:ascii="Courier New" w:hAnsi="Courier New" w:hint="default"/>
      </w:rPr>
    </w:lvl>
    <w:lvl w:ilvl="2" w:tplc="54444D32">
      <w:start w:val="1"/>
      <w:numFmt w:val="bullet"/>
      <w:lvlText w:val=""/>
      <w:lvlJc w:val="left"/>
      <w:pPr>
        <w:ind w:left="2160" w:hanging="360"/>
      </w:pPr>
      <w:rPr>
        <w:rFonts w:ascii="Wingdings" w:hAnsi="Wingdings" w:hint="default"/>
      </w:rPr>
    </w:lvl>
    <w:lvl w:ilvl="3" w:tplc="FF2244C6">
      <w:start w:val="1"/>
      <w:numFmt w:val="bullet"/>
      <w:lvlText w:val=""/>
      <w:lvlJc w:val="left"/>
      <w:pPr>
        <w:ind w:left="2880" w:hanging="360"/>
      </w:pPr>
      <w:rPr>
        <w:rFonts w:ascii="Symbol" w:hAnsi="Symbol" w:hint="default"/>
      </w:rPr>
    </w:lvl>
    <w:lvl w:ilvl="4" w:tplc="EEE8C696">
      <w:start w:val="1"/>
      <w:numFmt w:val="bullet"/>
      <w:lvlText w:val="o"/>
      <w:lvlJc w:val="left"/>
      <w:pPr>
        <w:ind w:left="3600" w:hanging="360"/>
      </w:pPr>
      <w:rPr>
        <w:rFonts w:ascii="Courier New" w:hAnsi="Courier New" w:hint="default"/>
      </w:rPr>
    </w:lvl>
    <w:lvl w:ilvl="5" w:tplc="11BCCA1C">
      <w:start w:val="1"/>
      <w:numFmt w:val="bullet"/>
      <w:lvlText w:val=""/>
      <w:lvlJc w:val="left"/>
      <w:pPr>
        <w:ind w:left="4320" w:hanging="360"/>
      </w:pPr>
      <w:rPr>
        <w:rFonts w:ascii="Wingdings" w:hAnsi="Wingdings" w:hint="default"/>
      </w:rPr>
    </w:lvl>
    <w:lvl w:ilvl="6" w:tplc="1C98786C">
      <w:start w:val="1"/>
      <w:numFmt w:val="bullet"/>
      <w:lvlText w:val=""/>
      <w:lvlJc w:val="left"/>
      <w:pPr>
        <w:ind w:left="5040" w:hanging="360"/>
      </w:pPr>
      <w:rPr>
        <w:rFonts w:ascii="Symbol" w:hAnsi="Symbol" w:hint="default"/>
      </w:rPr>
    </w:lvl>
    <w:lvl w:ilvl="7" w:tplc="5ED201D4">
      <w:start w:val="1"/>
      <w:numFmt w:val="bullet"/>
      <w:lvlText w:val="o"/>
      <w:lvlJc w:val="left"/>
      <w:pPr>
        <w:ind w:left="5760" w:hanging="360"/>
      </w:pPr>
      <w:rPr>
        <w:rFonts w:ascii="Courier New" w:hAnsi="Courier New" w:hint="default"/>
      </w:rPr>
    </w:lvl>
    <w:lvl w:ilvl="8" w:tplc="87C4DBEC">
      <w:start w:val="1"/>
      <w:numFmt w:val="bullet"/>
      <w:lvlText w:val=""/>
      <w:lvlJc w:val="left"/>
      <w:pPr>
        <w:ind w:left="6480" w:hanging="360"/>
      </w:pPr>
      <w:rPr>
        <w:rFonts w:ascii="Wingdings" w:hAnsi="Wingdings" w:hint="default"/>
      </w:rPr>
    </w:lvl>
  </w:abstractNum>
  <w:abstractNum w:abstractNumId="2">
    <w:nsid w:val="2CF491DF"/>
    <w:multiLevelType w:val="hybridMultilevel"/>
    <w:tmpl w:val="5194F9D8"/>
    <w:lvl w:ilvl="0" w:tplc="81D6897C">
      <w:start w:val="1"/>
      <w:numFmt w:val="bullet"/>
      <w:lvlText w:val="·"/>
      <w:lvlJc w:val="left"/>
      <w:pPr>
        <w:ind w:left="720" w:hanging="360"/>
      </w:pPr>
      <w:rPr>
        <w:rFonts w:ascii="Symbol" w:hAnsi="Symbol" w:hint="default"/>
      </w:rPr>
    </w:lvl>
    <w:lvl w:ilvl="1" w:tplc="F030F21C">
      <w:start w:val="1"/>
      <w:numFmt w:val="bullet"/>
      <w:lvlText w:val="o"/>
      <w:lvlJc w:val="left"/>
      <w:pPr>
        <w:ind w:left="1440" w:hanging="360"/>
      </w:pPr>
      <w:rPr>
        <w:rFonts w:ascii="Courier New" w:hAnsi="Courier New" w:hint="default"/>
      </w:rPr>
    </w:lvl>
    <w:lvl w:ilvl="2" w:tplc="C868D328">
      <w:start w:val="1"/>
      <w:numFmt w:val="bullet"/>
      <w:lvlText w:val=""/>
      <w:lvlJc w:val="left"/>
      <w:pPr>
        <w:ind w:left="2160" w:hanging="360"/>
      </w:pPr>
      <w:rPr>
        <w:rFonts w:ascii="Wingdings" w:hAnsi="Wingdings" w:hint="default"/>
      </w:rPr>
    </w:lvl>
    <w:lvl w:ilvl="3" w:tplc="241C8D1C">
      <w:start w:val="1"/>
      <w:numFmt w:val="bullet"/>
      <w:lvlText w:val=""/>
      <w:lvlJc w:val="left"/>
      <w:pPr>
        <w:ind w:left="2880" w:hanging="360"/>
      </w:pPr>
      <w:rPr>
        <w:rFonts w:ascii="Symbol" w:hAnsi="Symbol" w:hint="default"/>
      </w:rPr>
    </w:lvl>
    <w:lvl w:ilvl="4" w:tplc="183898CE">
      <w:start w:val="1"/>
      <w:numFmt w:val="bullet"/>
      <w:lvlText w:val="o"/>
      <w:lvlJc w:val="left"/>
      <w:pPr>
        <w:ind w:left="3600" w:hanging="360"/>
      </w:pPr>
      <w:rPr>
        <w:rFonts w:ascii="Courier New" w:hAnsi="Courier New" w:hint="default"/>
      </w:rPr>
    </w:lvl>
    <w:lvl w:ilvl="5" w:tplc="902A20E4">
      <w:start w:val="1"/>
      <w:numFmt w:val="bullet"/>
      <w:lvlText w:val=""/>
      <w:lvlJc w:val="left"/>
      <w:pPr>
        <w:ind w:left="4320" w:hanging="360"/>
      </w:pPr>
      <w:rPr>
        <w:rFonts w:ascii="Wingdings" w:hAnsi="Wingdings" w:hint="default"/>
      </w:rPr>
    </w:lvl>
    <w:lvl w:ilvl="6" w:tplc="27FA2C78">
      <w:start w:val="1"/>
      <w:numFmt w:val="bullet"/>
      <w:lvlText w:val=""/>
      <w:lvlJc w:val="left"/>
      <w:pPr>
        <w:ind w:left="5040" w:hanging="360"/>
      </w:pPr>
      <w:rPr>
        <w:rFonts w:ascii="Symbol" w:hAnsi="Symbol" w:hint="default"/>
      </w:rPr>
    </w:lvl>
    <w:lvl w:ilvl="7" w:tplc="6BEE1ECE">
      <w:start w:val="1"/>
      <w:numFmt w:val="bullet"/>
      <w:lvlText w:val="o"/>
      <w:lvlJc w:val="left"/>
      <w:pPr>
        <w:ind w:left="5760" w:hanging="360"/>
      </w:pPr>
      <w:rPr>
        <w:rFonts w:ascii="Courier New" w:hAnsi="Courier New" w:hint="default"/>
      </w:rPr>
    </w:lvl>
    <w:lvl w:ilvl="8" w:tplc="2668C23C">
      <w:start w:val="1"/>
      <w:numFmt w:val="bullet"/>
      <w:lvlText w:val=""/>
      <w:lvlJc w:val="left"/>
      <w:pPr>
        <w:ind w:left="6480" w:hanging="360"/>
      </w:pPr>
      <w:rPr>
        <w:rFonts w:ascii="Wingdings" w:hAnsi="Wingdings" w:hint="default"/>
      </w:rPr>
    </w:lvl>
  </w:abstractNum>
  <w:abstractNum w:abstractNumId="3">
    <w:nsid w:val="51F31377"/>
    <w:multiLevelType w:val="hybridMultilevel"/>
    <w:tmpl w:val="DA0CB7FA"/>
    <w:lvl w:ilvl="0" w:tplc="736C8CF6">
      <w:start w:val="1"/>
      <w:numFmt w:val="bullet"/>
      <w:lvlText w:val=""/>
      <w:lvlJc w:val="left"/>
      <w:pPr>
        <w:ind w:left="720" w:hanging="360"/>
      </w:pPr>
      <w:rPr>
        <w:rFonts w:ascii="Symbol" w:hAnsi="Symbol" w:hint="default"/>
      </w:rPr>
    </w:lvl>
    <w:lvl w:ilvl="1" w:tplc="22E8654E">
      <w:start w:val="1"/>
      <w:numFmt w:val="bullet"/>
      <w:lvlText w:val="o"/>
      <w:lvlJc w:val="left"/>
      <w:pPr>
        <w:ind w:left="1440" w:hanging="360"/>
      </w:pPr>
      <w:rPr>
        <w:rFonts w:ascii="Courier New" w:hAnsi="Courier New" w:hint="default"/>
      </w:rPr>
    </w:lvl>
    <w:lvl w:ilvl="2" w:tplc="F98C1AF2">
      <w:start w:val="1"/>
      <w:numFmt w:val="bullet"/>
      <w:lvlText w:val=""/>
      <w:lvlJc w:val="left"/>
      <w:pPr>
        <w:ind w:left="2160" w:hanging="360"/>
      </w:pPr>
      <w:rPr>
        <w:rFonts w:ascii="Wingdings" w:hAnsi="Wingdings" w:hint="default"/>
      </w:rPr>
    </w:lvl>
    <w:lvl w:ilvl="3" w:tplc="2056F368">
      <w:start w:val="1"/>
      <w:numFmt w:val="bullet"/>
      <w:lvlText w:val=""/>
      <w:lvlJc w:val="left"/>
      <w:pPr>
        <w:ind w:left="2880" w:hanging="360"/>
      </w:pPr>
      <w:rPr>
        <w:rFonts w:ascii="Symbol" w:hAnsi="Symbol" w:hint="default"/>
      </w:rPr>
    </w:lvl>
    <w:lvl w:ilvl="4" w:tplc="9E32677E">
      <w:start w:val="1"/>
      <w:numFmt w:val="bullet"/>
      <w:lvlText w:val="o"/>
      <w:lvlJc w:val="left"/>
      <w:pPr>
        <w:ind w:left="3600" w:hanging="360"/>
      </w:pPr>
      <w:rPr>
        <w:rFonts w:ascii="Courier New" w:hAnsi="Courier New" w:hint="default"/>
      </w:rPr>
    </w:lvl>
    <w:lvl w:ilvl="5" w:tplc="DD323FCE">
      <w:start w:val="1"/>
      <w:numFmt w:val="bullet"/>
      <w:lvlText w:val=""/>
      <w:lvlJc w:val="left"/>
      <w:pPr>
        <w:ind w:left="4320" w:hanging="360"/>
      </w:pPr>
      <w:rPr>
        <w:rFonts w:ascii="Wingdings" w:hAnsi="Wingdings" w:hint="default"/>
      </w:rPr>
    </w:lvl>
    <w:lvl w:ilvl="6" w:tplc="0BD2C94A">
      <w:start w:val="1"/>
      <w:numFmt w:val="bullet"/>
      <w:lvlText w:val=""/>
      <w:lvlJc w:val="left"/>
      <w:pPr>
        <w:ind w:left="5040" w:hanging="360"/>
      </w:pPr>
      <w:rPr>
        <w:rFonts w:ascii="Symbol" w:hAnsi="Symbol" w:hint="default"/>
      </w:rPr>
    </w:lvl>
    <w:lvl w:ilvl="7" w:tplc="B7CA634C">
      <w:start w:val="1"/>
      <w:numFmt w:val="bullet"/>
      <w:lvlText w:val="o"/>
      <w:lvlJc w:val="left"/>
      <w:pPr>
        <w:ind w:left="5760" w:hanging="360"/>
      </w:pPr>
      <w:rPr>
        <w:rFonts w:ascii="Courier New" w:hAnsi="Courier New" w:hint="default"/>
      </w:rPr>
    </w:lvl>
    <w:lvl w:ilvl="8" w:tplc="B4C46D72">
      <w:start w:val="1"/>
      <w:numFmt w:val="bullet"/>
      <w:lvlText w:val=""/>
      <w:lvlJc w:val="left"/>
      <w:pPr>
        <w:ind w:left="6480" w:hanging="360"/>
      </w:pPr>
      <w:rPr>
        <w:rFonts w:ascii="Wingdings" w:hAnsi="Wingdings" w:hint="default"/>
      </w:rPr>
    </w:lvl>
  </w:abstractNum>
  <w:abstractNum w:abstractNumId="4">
    <w:nsid w:val="680A1E4F"/>
    <w:multiLevelType w:val="hybridMultilevel"/>
    <w:tmpl w:val="3DF43872"/>
    <w:lvl w:ilvl="0" w:tplc="DBB8E1EA">
      <w:start w:val="1"/>
      <w:numFmt w:val="bullet"/>
      <w:lvlText w:val="·"/>
      <w:lvlJc w:val="left"/>
      <w:pPr>
        <w:ind w:left="720" w:hanging="360"/>
      </w:pPr>
      <w:rPr>
        <w:rFonts w:ascii="Symbol" w:hAnsi="Symbol" w:hint="default"/>
      </w:rPr>
    </w:lvl>
    <w:lvl w:ilvl="1" w:tplc="81A4CEEC">
      <w:start w:val="1"/>
      <w:numFmt w:val="bullet"/>
      <w:lvlText w:val="o"/>
      <w:lvlJc w:val="left"/>
      <w:pPr>
        <w:ind w:left="1440" w:hanging="360"/>
      </w:pPr>
      <w:rPr>
        <w:rFonts w:ascii="Courier New" w:hAnsi="Courier New" w:hint="default"/>
      </w:rPr>
    </w:lvl>
    <w:lvl w:ilvl="2" w:tplc="B008C6D8">
      <w:start w:val="1"/>
      <w:numFmt w:val="bullet"/>
      <w:lvlText w:val=""/>
      <w:lvlJc w:val="left"/>
      <w:pPr>
        <w:ind w:left="2160" w:hanging="360"/>
      </w:pPr>
      <w:rPr>
        <w:rFonts w:ascii="Wingdings" w:hAnsi="Wingdings" w:hint="default"/>
      </w:rPr>
    </w:lvl>
    <w:lvl w:ilvl="3" w:tplc="04EAEDEE">
      <w:start w:val="1"/>
      <w:numFmt w:val="bullet"/>
      <w:lvlText w:val=""/>
      <w:lvlJc w:val="left"/>
      <w:pPr>
        <w:ind w:left="2880" w:hanging="360"/>
      </w:pPr>
      <w:rPr>
        <w:rFonts w:ascii="Symbol" w:hAnsi="Symbol" w:hint="default"/>
      </w:rPr>
    </w:lvl>
    <w:lvl w:ilvl="4" w:tplc="60425660">
      <w:start w:val="1"/>
      <w:numFmt w:val="bullet"/>
      <w:lvlText w:val="o"/>
      <w:lvlJc w:val="left"/>
      <w:pPr>
        <w:ind w:left="3600" w:hanging="360"/>
      </w:pPr>
      <w:rPr>
        <w:rFonts w:ascii="Courier New" w:hAnsi="Courier New" w:hint="default"/>
      </w:rPr>
    </w:lvl>
    <w:lvl w:ilvl="5" w:tplc="00A88AC2">
      <w:start w:val="1"/>
      <w:numFmt w:val="bullet"/>
      <w:lvlText w:val=""/>
      <w:lvlJc w:val="left"/>
      <w:pPr>
        <w:ind w:left="4320" w:hanging="360"/>
      </w:pPr>
      <w:rPr>
        <w:rFonts w:ascii="Wingdings" w:hAnsi="Wingdings" w:hint="default"/>
      </w:rPr>
    </w:lvl>
    <w:lvl w:ilvl="6" w:tplc="B07E6AFA">
      <w:start w:val="1"/>
      <w:numFmt w:val="bullet"/>
      <w:lvlText w:val=""/>
      <w:lvlJc w:val="left"/>
      <w:pPr>
        <w:ind w:left="5040" w:hanging="360"/>
      </w:pPr>
      <w:rPr>
        <w:rFonts w:ascii="Symbol" w:hAnsi="Symbol" w:hint="default"/>
      </w:rPr>
    </w:lvl>
    <w:lvl w:ilvl="7" w:tplc="5F74432C">
      <w:start w:val="1"/>
      <w:numFmt w:val="bullet"/>
      <w:lvlText w:val="o"/>
      <w:lvlJc w:val="left"/>
      <w:pPr>
        <w:ind w:left="5760" w:hanging="360"/>
      </w:pPr>
      <w:rPr>
        <w:rFonts w:ascii="Courier New" w:hAnsi="Courier New" w:hint="default"/>
      </w:rPr>
    </w:lvl>
    <w:lvl w:ilvl="8" w:tplc="5B4CE87A">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19F683"/>
    <w:rsid w:val="00060094"/>
    <w:rsid w:val="00063608"/>
    <w:rsid w:val="000B00B5"/>
    <w:rsid w:val="001C4D16"/>
    <w:rsid w:val="003520DC"/>
    <w:rsid w:val="004228A7"/>
    <w:rsid w:val="00485885"/>
    <w:rsid w:val="0049247B"/>
    <w:rsid w:val="00511896"/>
    <w:rsid w:val="005253F2"/>
    <w:rsid w:val="00581B4A"/>
    <w:rsid w:val="00597C54"/>
    <w:rsid w:val="00607453"/>
    <w:rsid w:val="00740B28"/>
    <w:rsid w:val="00745143"/>
    <w:rsid w:val="007B3ABC"/>
    <w:rsid w:val="007D4119"/>
    <w:rsid w:val="00825D13"/>
    <w:rsid w:val="009007C3"/>
    <w:rsid w:val="00956D93"/>
    <w:rsid w:val="009968A0"/>
    <w:rsid w:val="009D38FE"/>
    <w:rsid w:val="00A61531"/>
    <w:rsid w:val="00AE10BD"/>
    <w:rsid w:val="00B70661"/>
    <w:rsid w:val="00C518A6"/>
    <w:rsid w:val="00C87B37"/>
    <w:rsid w:val="00C955FA"/>
    <w:rsid w:val="00CD5F5A"/>
    <w:rsid w:val="00DA45C2"/>
    <w:rsid w:val="00E36BDC"/>
    <w:rsid w:val="00EF4AC7"/>
    <w:rsid w:val="00F34B29"/>
    <w:rsid w:val="00F5237E"/>
    <w:rsid w:val="00FA4BB4"/>
    <w:rsid w:val="00FB2C7C"/>
    <w:rsid w:val="012A25D8"/>
    <w:rsid w:val="018D080F"/>
    <w:rsid w:val="0281086B"/>
    <w:rsid w:val="03A13C00"/>
    <w:rsid w:val="03C0A633"/>
    <w:rsid w:val="04793C48"/>
    <w:rsid w:val="04EB4711"/>
    <w:rsid w:val="0540A8AF"/>
    <w:rsid w:val="05824C79"/>
    <w:rsid w:val="058326AD"/>
    <w:rsid w:val="06E9A75F"/>
    <w:rsid w:val="076153AF"/>
    <w:rsid w:val="07E32136"/>
    <w:rsid w:val="097EF197"/>
    <w:rsid w:val="0AADE000"/>
    <w:rsid w:val="0AC8BF12"/>
    <w:rsid w:val="0BCBB818"/>
    <w:rsid w:val="0BD0B139"/>
    <w:rsid w:val="0CF92C63"/>
    <w:rsid w:val="0D678879"/>
    <w:rsid w:val="0E49903B"/>
    <w:rsid w:val="113F1840"/>
    <w:rsid w:val="1183834A"/>
    <w:rsid w:val="131AC024"/>
    <w:rsid w:val="1337EF28"/>
    <w:rsid w:val="135E177C"/>
    <w:rsid w:val="13D0ECCE"/>
    <w:rsid w:val="1468F8ED"/>
    <w:rsid w:val="15003484"/>
    <w:rsid w:val="15F8802D"/>
    <w:rsid w:val="161A76E9"/>
    <w:rsid w:val="19C6BC95"/>
    <w:rsid w:val="1ACBF150"/>
    <w:rsid w:val="1B013BE4"/>
    <w:rsid w:val="1B628CF6"/>
    <w:rsid w:val="1C24A8B5"/>
    <w:rsid w:val="1C67C1B1"/>
    <w:rsid w:val="1CAD03F5"/>
    <w:rsid w:val="1D186BA8"/>
    <w:rsid w:val="1E38DCA6"/>
    <w:rsid w:val="1E8A53A7"/>
    <w:rsid w:val="1F380D61"/>
    <w:rsid w:val="22DFD194"/>
    <w:rsid w:val="2473383D"/>
    <w:rsid w:val="2494CA52"/>
    <w:rsid w:val="2568E3BB"/>
    <w:rsid w:val="25A74EE5"/>
    <w:rsid w:val="262B15A5"/>
    <w:rsid w:val="2673171C"/>
    <w:rsid w:val="27431F46"/>
    <w:rsid w:val="280EE77D"/>
    <w:rsid w:val="286B29C9"/>
    <w:rsid w:val="29C3B802"/>
    <w:rsid w:val="2A760543"/>
    <w:rsid w:val="2A7AC008"/>
    <w:rsid w:val="2AE3813E"/>
    <w:rsid w:val="2B1DA184"/>
    <w:rsid w:val="2C482172"/>
    <w:rsid w:val="2C86B3DA"/>
    <w:rsid w:val="2CCA7BD9"/>
    <w:rsid w:val="2D588011"/>
    <w:rsid w:val="2E683785"/>
    <w:rsid w:val="2FB47A6B"/>
    <w:rsid w:val="30045DD5"/>
    <w:rsid w:val="309020D3"/>
    <w:rsid w:val="33B55BE8"/>
    <w:rsid w:val="340D0D78"/>
    <w:rsid w:val="341EADF1"/>
    <w:rsid w:val="35199E1D"/>
    <w:rsid w:val="35249BDA"/>
    <w:rsid w:val="356B6436"/>
    <w:rsid w:val="35902AD1"/>
    <w:rsid w:val="36568680"/>
    <w:rsid w:val="369ED673"/>
    <w:rsid w:val="36B135A2"/>
    <w:rsid w:val="37613096"/>
    <w:rsid w:val="3798504A"/>
    <w:rsid w:val="38BE95CD"/>
    <w:rsid w:val="3A09045D"/>
    <w:rsid w:val="3A27C1BA"/>
    <w:rsid w:val="3A673A01"/>
    <w:rsid w:val="3BA1D5C9"/>
    <w:rsid w:val="3C030A62"/>
    <w:rsid w:val="3C268D15"/>
    <w:rsid w:val="3C278841"/>
    <w:rsid w:val="3CF5A4B3"/>
    <w:rsid w:val="3D074EC9"/>
    <w:rsid w:val="3D408FEF"/>
    <w:rsid w:val="3DD64DE1"/>
    <w:rsid w:val="3EDC6050"/>
    <w:rsid w:val="3F19F683"/>
    <w:rsid w:val="403A27B3"/>
    <w:rsid w:val="4151D9C0"/>
    <w:rsid w:val="424AE35D"/>
    <w:rsid w:val="42EDAA21"/>
    <w:rsid w:val="4393BF51"/>
    <w:rsid w:val="43E6B3BE"/>
    <w:rsid w:val="44EB7964"/>
    <w:rsid w:val="450DA5E9"/>
    <w:rsid w:val="469AFDFA"/>
    <w:rsid w:val="46A9764A"/>
    <w:rsid w:val="46AE310F"/>
    <w:rsid w:val="46EE4A1B"/>
    <w:rsid w:val="470B3796"/>
    <w:rsid w:val="484546AB"/>
    <w:rsid w:val="49038819"/>
    <w:rsid w:val="499CDDE0"/>
    <w:rsid w:val="4B4BA380"/>
    <w:rsid w:val="4B7B913F"/>
    <w:rsid w:val="4C09100D"/>
    <w:rsid w:val="4C7970E7"/>
    <w:rsid w:val="4CDD74CD"/>
    <w:rsid w:val="4F86DE43"/>
    <w:rsid w:val="52410489"/>
    <w:rsid w:val="5268F4AD"/>
    <w:rsid w:val="5433C661"/>
    <w:rsid w:val="54DF9087"/>
    <w:rsid w:val="56794DF2"/>
    <w:rsid w:val="571A6F14"/>
    <w:rsid w:val="58E6765D"/>
    <w:rsid w:val="5924CB2F"/>
    <w:rsid w:val="593ECB92"/>
    <w:rsid w:val="5A56E1B9"/>
    <w:rsid w:val="5AA6C49D"/>
    <w:rsid w:val="5AB9B9DC"/>
    <w:rsid w:val="5C0FD6F3"/>
    <w:rsid w:val="5E12C47A"/>
    <w:rsid w:val="5F97A740"/>
    <w:rsid w:val="613377A1"/>
    <w:rsid w:val="635A2347"/>
    <w:rsid w:val="636C41B7"/>
    <w:rsid w:val="640B52EE"/>
    <w:rsid w:val="64855FFD"/>
    <w:rsid w:val="65C60006"/>
    <w:rsid w:val="67BD00BF"/>
    <w:rsid w:val="69D396B0"/>
    <w:rsid w:val="6A19D41A"/>
    <w:rsid w:val="6A4F6FEA"/>
    <w:rsid w:val="6B08B4E5"/>
    <w:rsid w:val="6B6F6711"/>
    <w:rsid w:val="6BC8D88B"/>
    <w:rsid w:val="6BCB5633"/>
    <w:rsid w:val="6D0B3772"/>
    <w:rsid w:val="6D4B808F"/>
    <w:rsid w:val="6E9C65B4"/>
    <w:rsid w:val="6F110A9E"/>
    <w:rsid w:val="6FA2B751"/>
    <w:rsid w:val="6FE541A8"/>
    <w:rsid w:val="7042D834"/>
    <w:rsid w:val="721EF1B2"/>
    <w:rsid w:val="72924196"/>
    <w:rsid w:val="73411E80"/>
    <w:rsid w:val="7368BF2D"/>
    <w:rsid w:val="759B559F"/>
    <w:rsid w:val="7631FACF"/>
    <w:rsid w:val="77A85216"/>
    <w:rsid w:val="77D32489"/>
    <w:rsid w:val="79151431"/>
    <w:rsid w:val="796EF4EA"/>
    <w:rsid w:val="7981F629"/>
    <w:rsid w:val="7A059EE3"/>
    <w:rsid w:val="7B23BAD7"/>
    <w:rsid w:val="7B5AA8B5"/>
    <w:rsid w:val="7BF56CC3"/>
    <w:rsid w:val="7BFF768D"/>
    <w:rsid w:val="7C09519B"/>
    <w:rsid w:val="7E09307A"/>
    <w:rsid w:val="7F9E26C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9F683"/>
  <w15:chartTrackingRefBased/>
  <w15:docId w15:val="{62694FD1-1B12-42F2-8DDB-FB8239AA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qFormat/>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Sinespaciado">
    <w:name w:val="No Spacing"/>
    <w:uiPriority w:val="1"/>
    <w:qFormat/>
    <w:rsid w:val="001C4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CF943B9D59342A2C5387511F07882" ma:contentTypeVersion="21" ma:contentTypeDescription="Create a new document." ma:contentTypeScope="" ma:versionID="e692d4bab7dfbbcb2830265ca480bcc7">
  <xsd:schema xmlns:xsd="http://www.w3.org/2001/XMLSchema" xmlns:xs="http://www.w3.org/2001/XMLSchema" xmlns:p="http://schemas.microsoft.com/office/2006/metadata/properties" xmlns:ns2="65871e39-d953-40b8-ba9c-d5b50d4373d2" targetNamespace="http://schemas.microsoft.com/office/2006/metadata/properties" ma:root="true" ma:fieldsID="99613546d9cc3bae12e175a03b3d5430" ns2:_="">
    <xsd:import namespace="65871e39-d953-40b8-ba9c-d5b50d4373d2"/>
    <xsd:element name="properties">
      <xsd:complexType>
        <xsd:sequence>
          <xsd:element name="documentManagement">
            <xsd:complexType>
              <xsd:all>
                <xsd:element ref="ns2:Nombre" minOccurs="0"/>
                <xsd:element ref="ns2:Expediente1" minOccurs="0"/>
                <xsd:element ref="ns2:Resolucion1" minOccurs="0"/>
                <xsd:element ref="ns2:Expediente2" minOccurs="0"/>
                <xsd:element ref="ns2:Resolucion2" minOccurs="0"/>
                <xsd:element ref="ns2:Expediente3" minOccurs="0"/>
                <xsd:element ref="ns2:Resolucion3" minOccurs="0"/>
                <xsd:element ref="ns2:Expediente4" minOccurs="0"/>
                <xsd:element ref="ns2:Resolucion4" minOccurs="0"/>
                <xsd:element ref="ns2:Expediente5" minOccurs="0"/>
                <xsd:element ref="ns2:Resolucion5" minOccurs="0"/>
                <xsd:element ref="ns2:Anio" minOccurs="0"/>
                <xsd:element ref="ns2:Vigente" minOccurs="0"/>
                <xsd:element ref="ns2:Epoca" minOccurs="0"/>
                <xsd:element ref="ns2:Materia" minOccurs="0"/>
                <xsd:element ref="ns2:Tema" minOccurs="0"/>
                <xsd:element ref="ns2:Tipo" minOccurs="0"/>
                <xsd:element ref="ns2:Contenido" minOccurs="0"/>
                <xsd:element ref="ns2:Comentario" minOccurs="0"/>
                <xsd:element ref="ns2:NoCriteri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71e39-d953-40b8-ba9c-d5b50d4373d2" elementFormDefault="qualified">
    <xsd:import namespace="http://schemas.microsoft.com/office/2006/documentManagement/types"/>
    <xsd:import namespace="http://schemas.microsoft.com/office/infopath/2007/PartnerControls"/>
    <xsd:element name="Nombre" ma:index="8" nillable="true" ma:displayName="Nombre" ma:internalName="Nombre">
      <xsd:simpleType>
        <xsd:restriction base="dms:Note"/>
      </xsd:simpleType>
    </xsd:element>
    <xsd:element name="Expediente1" ma:index="9" nillable="true" ma:displayName="Expediente1" ma:internalName="Expediente1">
      <xsd:simpleType>
        <xsd:restriction base="dms:Text">
          <xsd:maxLength value="255"/>
        </xsd:restriction>
      </xsd:simpleType>
    </xsd:element>
    <xsd:element name="Resolucion1" ma:index="10" nillable="true" ma:displayName="Resolucion1" ma:internalName="Resolucion1">
      <xsd:simpleType>
        <xsd:restriction base="dms:Text">
          <xsd:maxLength value="255"/>
        </xsd:restriction>
      </xsd:simpleType>
    </xsd:element>
    <xsd:element name="Expediente2" ma:index="11" nillable="true" ma:displayName="Expediente2" ma:internalName="Expediente2">
      <xsd:simpleType>
        <xsd:restriction base="dms:Text">
          <xsd:maxLength value="255"/>
        </xsd:restriction>
      </xsd:simpleType>
    </xsd:element>
    <xsd:element name="Resolucion2" ma:index="12" nillable="true" ma:displayName="Resolucion2" ma:internalName="Resolucion2">
      <xsd:simpleType>
        <xsd:restriction base="dms:Text">
          <xsd:maxLength value="255"/>
        </xsd:restriction>
      </xsd:simpleType>
    </xsd:element>
    <xsd:element name="Expediente3" ma:index="13" nillable="true" ma:displayName="Expediente3" ma:internalName="Expediente3">
      <xsd:simpleType>
        <xsd:restriction base="dms:Text">
          <xsd:maxLength value="255"/>
        </xsd:restriction>
      </xsd:simpleType>
    </xsd:element>
    <xsd:element name="Resolucion3" ma:index="14" nillable="true" ma:displayName="Resolucion3" ma:internalName="Resolucion3">
      <xsd:simpleType>
        <xsd:restriction base="dms:Text">
          <xsd:maxLength value="255"/>
        </xsd:restriction>
      </xsd:simpleType>
    </xsd:element>
    <xsd:element name="Expediente4" ma:index="15" nillable="true" ma:displayName="Expediente4" ma:internalName="Expediente4">
      <xsd:simpleType>
        <xsd:restriction base="dms:Text">
          <xsd:maxLength value="255"/>
        </xsd:restriction>
      </xsd:simpleType>
    </xsd:element>
    <xsd:element name="Resolucion4" ma:index="16" nillable="true" ma:displayName="Resolucion4" ma:internalName="Resolucion4">
      <xsd:simpleType>
        <xsd:restriction base="dms:Text">
          <xsd:maxLength value="255"/>
        </xsd:restriction>
      </xsd:simpleType>
    </xsd:element>
    <xsd:element name="Expediente5" ma:index="17" nillable="true" ma:displayName="Expediente5" ma:internalName="Expediente5">
      <xsd:simpleType>
        <xsd:restriction base="dms:Text">
          <xsd:maxLength value="255"/>
        </xsd:restriction>
      </xsd:simpleType>
    </xsd:element>
    <xsd:element name="Resolucion5" ma:index="18" nillable="true" ma:displayName="Resolucion5" ma:internalName="Resolucion5">
      <xsd:simpleType>
        <xsd:restriction base="dms:Text">
          <xsd:maxLength value="255"/>
        </xsd:restriction>
      </xsd:simpleType>
    </xsd:element>
    <xsd:element name="Anio" ma:index="19" nillable="true" ma:displayName="Anio" ma:internalName="Anio">
      <xsd:simpleType>
        <xsd:restriction base="dms:Text">
          <xsd:maxLength value="255"/>
        </xsd:restriction>
      </xsd:simpleType>
    </xsd:element>
    <xsd:element name="Vigente" ma:index="20" nillable="true" ma:displayName="Vigente" ma:internalName="Vigente">
      <xsd:simpleType>
        <xsd:restriction base="dms:Text">
          <xsd:maxLength value="255"/>
        </xsd:restriction>
      </xsd:simpleType>
    </xsd:element>
    <xsd:element name="Epoca" ma:index="21" nillable="true" ma:displayName="Epoca" ma:internalName="Epoca">
      <xsd:simpleType>
        <xsd:restriction base="dms:Text">
          <xsd:maxLength value="255"/>
        </xsd:restriction>
      </xsd:simpleType>
    </xsd:element>
    <xsd:element name="Materia" ma:index="22" nillable="true" ma:displayName="Materia" ma:internalName="Materia">
      <xsd:simpleType>
        <xsd:restriction base="dms:Text">
          <xsd:maxLength value="255"/>
        </xsd:restriction>
      </xsd:simpleType>
    </xsd:element>
    <xsd:element name="Tema" ma:index="23" nillable="true" ma:displayName="Tema" ma:internalName="Tema">
      <xsd:simpleType>
        <xsd:restriction base="dms:Text">
          <xsd:maxLength value="255"/>
        </xsd:restriction>
      </xsd:simpleType>
    </xsd:element>
    <xsd:element name="Tipo" ma:index="24" nillable="true" ma:displayName="Tipo" ma:internalName="Tipo">
      <xsd:simpleType>
        <xsd:restriction base="dms:Text">
          <xsd:maxLength value="255"/>
        </xsd:restriction>
      </xsd:simpleType>
    </xsd:element>
    <xsd:element name="Contenido" ma:index="25" nillable="true" ma:displayName="Contenido" ma:internalName="Contenido">
      <xsd:simpleType>
        <xsd:restriction base="dms:Note"/>
      </xsd:simpleType>
    </xsd:element>
    <xsd:element name="Comentario" ma:index="26" nillable="true" ma:displayName="Comentario" ma:internalName="Comentario">
      <xsd:simpleType>
        <xsd:restriction base="dms:Text">
          <xsd:maxLength value="255"/>
        </xsd:restriction>
      </xsd:simpleType>
    </xsd:element>
    <xsd:element name="NoCriterio" ma:index="27" ma:displayName="NoCriterio" ma:decimals="0" ma:internalName="NoCriteri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ediente2 xmlns="65871e39-d953-40b8-ba9c-d5b50d4373d2">PPD. 0074/17. Sesión del 14 de noviembre de 2018. Votación por unanimidad. Sin votos particulares o disidentes.</Expediente2>
    <Resolucion3 xmlns="65871e39-d953-40b8-ba9c-d5b50d4373d2">https://inicio.inai.org.mx/pdf/resoluciones/2017/PPD.0036-17.pdf</Resolucion3>
    <Resolucion2 xmlns="65871e39-d953-40b8-ba9c-d5b50d4373d2">https://inicio.inai.org.mx/pdf/resoluciones/2017/PPD.0074.pdf</Resolucion2>
    <Expediente3 xmlns="65871e39-d953-40b8-ba9c-d5b50d4373d2">PPD.0036/17. Sesión del 18 de junio de 2019. Votación por unanimidad. Sin votos particulares o disidentes.</Expediente3>
    <Resolucion1 xmlns="65871e39-d953-40b8-ba9c-d5b50d4373d2">https://inicio.inai.org.mx/pdf/resoluciones/2015/PPD%200001.pdf</Resolucion1>
    <Expediente1 xmlns="65871e39-d953-40b8-ba9c-d5b50d4373d2">PPD. 0001/15. Sesión del 25 de mayo de 2017. Votación por unanimidad. Sin votos particulares o disidentes.</Expediente1>
    <Expediente4 xmlns="65871e39-d953-40b8-ba9c-d5b50d4373d2" xsi:nil="true"/>
    <Resolucion5 xmlns="65871e39-d953-40b8-ba9c-d5b50d4373d2" xsi:nil="true"/>
    <Comentario xmlns="65871e39-d953-40b8-ba9c-d5b50d4373d2" xsi:nil="true"/>
    <Nombre xmlns="65871e39-d953-40b8-ba9c-d5b50d4373d2">Procedimiento de 
Protección de Derechos. Calidades específicas atribuibles a las partes.</Nombre>
    <Resolucion4 xmlns="65871e39-d953-40b8-ba9c-d5b50d4373d2" xsi:nil="true"/>
    <Expediente5 xmlns="65871e39-d953-40b8-ba9c-d5b50d4373d2" xsi:nil="true"/>
    <Tema xmlns="65871e39-d953-40b8-ba9c-d5b50d4373d2">Derechos ARCO</Tema>
    <Vigente xmlns="65871e39-d953-40b8-ba9c-d5b50d4373d2">Si</Vigente>
    <Contenido xmlns="65871e39-d953-40b8-ba9c-d5b50d4373d2">Procedimiento de Protección de Derechos. Calidades específicas atribuibles a las partes. Toda vez que es un procedimiento administrativo llevado en forma de juicio, en el mismo las partes deben tener una calidad específica, es decir la persona física tiene que ser titular de los datos personales los cuales deben de contar con rasgos, características o elementos que la identifiquen o la hagan identificable y, por otro lado, la persona física o moral que sea responsable del tratamiento de los datos personales, la cual debe tener un nivel de decisión sobre cualquier acceso, uso, manejo, aprovechamiento o transferencia o disposición de los datos personales de la persona titular.</Contenido>
    <Anio xmlns="65871e39-d953-40b8-ba9c-d5b50d4373d2">2023</Anio>
    <NoCriterio xmlns="65871e39-d953-40b8-ba9c-d5b50d4373d2">4</NoCriterio>
    <Tipo xmlns="65871e39-d953-40b8-ba9c-d5b50d4373d2">Reiterado</Tipo>
    <Materia xmlns="65871e39-d953-40b8-ba9c-d5b50d4373d2">Protección de datos personales en posesión de los particulares</Materia>
    <Epoca xmlns="65871e39-d953-40b8-ba9c-d5b50d4373d2">Tercera</Epoca>
  </documentManagement>
</p:properties>
</file>

<file path=customXml/itemProps1.xml><?xml version="1.0" encoding="utf-8"?>
<ds:datastoreItem xmlns:ds="http://schemas.openxmlformats.org/officeDocument/2006/customXml" ds:itemID="{4CA94517-3A56-4389-917E-8ED73119C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71e39-d953-40b8-ba9c-d5b50d437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62AC7-7C42-4ABC-B1B2-7EB338C96F9F}">
  <ds:schemaRefs>
    <ds:schemaRef ds:uri="http://schemas.microsoft.com/sharepoint/v3/contenttype/forms"/>
  </ds:schemaRefs>
</ds:datastoreItem>
</file>

<file path=customXml/itemProps3.xml><?xml version="1.0" encoding="utf-8"?>
<ds:datastoreItem xmlns:ds="http://schemas.openxmlformats.org/officeDocument/2006/customXml" ds:itemID="{FE3E1D8B-F091-415A-94DF-F64CC3A8652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65871e39-d953-40b8-ba9c-d5b50d4373d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1716</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 Velázquez Rodríguez</dc:creator>
  <cp:keywords/>
  <dc:description/>
  <cp:lastModifiedBy>Cuenta Microsoft</cp:lastModifiedBy>
  <cp:revision>2</cp:revision>
  <cp:lastPrinted>2023-01-30T19:18:00Z</cp:lastPrinted>
  <dcterms:created xsi:type="dcterms:W3CDTF">2023-04-11T19:15:00Z</dcterms:created>
  <dcterms:modified xsi:type="dcterms:W3CDTF">2023-04-11T19:15:00Z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0x010100EBFCF943B9D59342A2C5387511F07882</vt:lpwstr>
  </property>
</Properties>
</file>